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F9" w:rsidRDefault="00376586" w:rsidP="00C178F9">
      <w:pPr>
        <w:keepNext/>
        <w:jc w:val="center"/>
      </w:pPr>
      <w:bookmarkStart w:id="0" w:name="_GoBack"/>
      <w:bookmarkEnd w:id="0"/>
      <w:r>
        <w:rPr>
          <w:noProof/>
          <w:lang w:eastAsia="en-GB"/>
        </w:rPr>
        <w:drawing>
          <wp:inline distT="0" distB="0" distL="0" distR="0" wp14:anchorId="5F7D3958" wp14:editId="620DC03B">
            <wp:extent cx="5257800" cy="7146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8348" cy="714732"/>
                    </a:xfrm>
                    <a:prstGeom prst="rect">
                      <a:avLst/>
                    </a:prstGeom>
                    <a:noFill/>
                  </pic:spPr>
                </pic:pic>
              </a:graphicData>
            </a:graphic>
          </wp:inline>
        </w:drawing>
      </w:r>
    </w:p>
    <w:p w:rsidR="006D0FB9" w:rsidRDefault="00C178F9" w:rsidP="006D0FB9">
      <w:pPr>
        <w:jc w:val="center"/>
        <w:rPr>
          <w:b/>
        </w:rPr>
      </w:pPr>
      <w:r>
        <w:rPr>
          <w:b/>
          <w:sz w:val="28"/>
          <w:szCs w:val="28"/>
        </w:rPr>
        <w:t xml:space="preserve">Conference Report </w:t>
      </w:r>
    </w:p>
    <w:p w:rsidR="000B4701" w:rsidRDefault="000B4701" w:rsidP="00392D5F">
      <w:pPr>
        <w:rPr>
          <w:b/>
        </w:rPr>
      </w:pPr>
      <w:r w:rsidRPr="0015766B">
        <w:rPr>
          <w:b/>
        </w:rPr>
        <w:t xml:space="preserve"> </w:t>
      </w:r>
    </w:p>
    <w:p w:rsidR="00CE1D95" w:rsidRDefault="000B4701" w:rsidP="00CE1D95">
      <w:pPr>
        <w:pStyle w:val="ListParagraph"/>
        <w:numPr>
          <w:ilvl w:val="0"/>
          <w:numId w:val="1"/>
        </w:numPr>
        <w:spacing w:after="120"/>
        <w:ind w:left="426" w:hanging="426"/>
        <w:jc w:val="both"/>
        <w:rPr>
          <w:b/>
        </w:rPr>
      </w:pPr>
      <w:r w:rsidRPr="0015766B">
        <w:rPr>
          <w:b/>
        </w:rPr>
        <w:t xml:space="preserve">Paul Holme </w:t>
      </w:r>
      <w:r w:rsidR="00731AA1">
        <w:rPr>
          <w:b/>
        </w:rPr>
        <w:t>–</w:t>
      </w:r>
      <w:r w:rsidR="00C178F9">
        <w:rPr>
          <w:b/>
        </w:rPr>
        <w:t xml:space="preserve"> </w:t>
      </w:r>
      <w:r w:rsidR="00731AA1">
        <w:rPr>
          <w:b/>
        </w:rPr>
        <w:t>Northern Provider Network</w:t>
      </w:r>
      <w:r w:rsidRPr="0015766B">
        <w:rPr>
          <w:b/>
        </w:rPr>
        <w:t xml:space="preserve"> </w:t>
      </w:r>
      <w:r w:rsidRPr="0015766B">
        <w:rPr>
          <w:b/>
        </w:rPr>
        <w:tab/>
      </w:r>
      <w:r w:rsidRPr="0015766B">
        <w:rPr>
          <w:b/>
        </w:rPr>
        <w:tab/>
      </w:r>
      <w:r w:rsidR="00CE1D95" w:rsidRPr="0015766B">
        <w:rPr>
          <w:b/>
        </w:rPr>
        <w:tab/>
      </w:r>
      <w:r w:rsidR="00CE1D95" w:rsidRPr="0015766B">
        <w:rPr>
          <w:b/>
        </w:rPr>
        <w:tab/>
      </w:r>
      <w:r w:rsidR="0015766B">
        <w:rPr>
          <w:b/>
        </w:rPr>
        <w:tab/>
      </w:r>
      <w:r w:rsidR="00E2638D">
        <w:rPr>
          <w:b/>
        </w:rPr>
        <w:tab/>
      </w:r>
      <w:r w:rsidR="00E2638D">
        <w:rPr>
          <w:b/>
        </w:rPr>
        <w:tab/>
      </w:r>
    </w:p>
    <w:p w:rsidR="00C178F9" w:rsidRDefault="00FF2BDC" w:rsidP="007F4975">
      <w:pPr>
        <w:pStyle w:val="ListParagraph"/>
        <w:numPr>
          <w:ilvl w:val="0"/>
          <w:numId w:val="8"/>
        </w:numPr>
        <w:spacing w:after="120"/>
        <w:jc w:val="both"/>
      </w:pPr>
      <w:r>
        <w:t>G</w:t>
      </w:r>
      <w:r w:rsidRPr="00C178F9">
        <w:t>iven the common issues and challenges in relation to the skills system and the background of devolution agre</w:t>
      </w:r>
      <w:r>
        <w:t>e</w:t>
      </w:r>
      <w:r w:rsidRPr="00C178F9">
        <w:t xml:space="preserve">ments and the Northern </w:t>
      </w:r>
      <w:r>
        <w:t>P</w:t>
      </w:r>
      <w:r w:rsidRPr="00C178F9">
        <w:t xml:space="preserve">owerhouse </w:t>
      </w:r>
      <w:r>
        <w:t xml:space="preserve">it is </w:t>
      </w:r>
      <w:r w:rsidR="00C178F9" w:rsidRPr="00C178F9">
        <w:t>importan</w:t>
      </w:r>
      <w:r>
        <w:t xml:space="preserve">t that </w:t>
      </w:r>
      <w:r w:rsidR="00C178F9" w:rsidRPr="00C178F9">
        <w:t>local networks co</w:t>
      </w:r>
      <w:r>
        <w:t xml:space="preserve">ntinue to come together </w:t>
      </w:r>
      <w:r w:rsidR="00731AA1">
        <w:t>and</w:t>
      </w:r>
      <w:r>
        <w:t xml:space="preserve"> work alongside the national organisations in particular AELP.</w:t>
      </w:r>
    </w:p>
    <w:p w:rsidR="00C178F9" w:rsidRPr="00C178F9" w:rsidRDefault="00731AA1" w:rsidP="007F4975">
      <w:pPr>
        <w:pStyle w:val="ListParagraph"/>
        <w:numPr>
          <w:ilvl w:val="0"/>
          <w:numId w:val="8"/>
        </w:numPr>
        <w:spacing w:after="120"/>
        <w:jc w:val="both"/>
      </w:pPr>
      <w:r>
        <w:t>The extent of change mean that providers need</w:t>
      </w:r>
      <w:r w:rsidR="00C178F9">
        <w:t xml:space="preserve"> to be working collectively to support each other and this was a key role for the networks to help facilitate</w:t>
      </w:r>
      <w:r w:rsidR="00FF2BDC">
        <w:t xml:space="preserve"> these processes.</w:t>
      </w:r>
    </w:p>
    <w:p w:rsidR="00C178F9" w:rsidRDefault="00C178F9" w:rsidP="007F4975">
      <w:pPr>
        <w:pStyle w:val="ListParagraph"/>
        <w:numPr>
          <w:ilvl w:val="0"/>
          <w:numId w:val="8"/>
        </w:numPr>
        <w:spacing w:after="120"/>
        <w:jc w:val="both"/>
      </w:pPr>
      <w:r w:rsidRPr="00C178F9">
        <w:t xml:space="preserve">Recent survey work </w:t>
      </w:r>
      <w:r w:rsidR="00FF2BDC">
        <w:t xml:space="preserve">undertaken by </w:t>
      </w:r>
      <w:r>
        <w:t xml:space="preserve">GMLPN </w:t>
      </w:r>
      <w:r w:rsidR="00FF2BDC">
        <w:t xml:space="preserve">with </w:t>
      </w:r>
      <w:r>
        <w:t xml:space="preserve">members </w:t>
      </w:r>
      <w:r w:rsidRPr="00C178F9">
        <w:t xml:space="preserve">in </w:t>
      </w:r>
      <w:r>
        <w:t>relation to Apprenticeship starts indicated a very significant downturn and the results would be shared with ESFA and AELP</w:t>
      </w:r>
    </w:p>
    <w:p w:rsidR="00C178F9" w:rsidRDefault="00C178F9" w:rsidP="00C178F9">
      <w:pPr>
        <w:spacing w:after="120"/>
        <w:jc w:val="both"/>
        <w:rPr>
          <w:b/>
        </w:rPr>
      </w:pPr>
    </w:p>
    <w:p w:rsidR="00C178F9" w:rsidRDefault="00E0015E" w:rsidP="000D0545">
      <w:pPr>
        <w:pStyle w:val="ListParagraph"/>
        <w:numPr>
          <w:ilvl w:val="0"/>
          <w:numId w:val="1"/>
        </w:numPr>
        <w:spacing w:after="0"/>
        <w:ind w:left="426" w:hanging="426"/>
        <w:jc w:val="both"/>
        <w:rPr>
          <w:b/>
        </w:rPr>
      </w:pPr>
      <w:r w:rsidRPr="00E0015E">
        <w:rPr>
          <w:b/>
        </w:rPr>
        <w:t xml:space="preserve">“The Quality Agenda for Apprenticeships” </w:t>
      </w:r>
      <w:r w:rsidR="000D0545" w:rsidRPr="00E0015E">
        <w:rPr>
          <w:b/>
        </w:rPr>
        <w:tab/>
      </w:r>
      <w:r w:rsidR="000D0545" w:rsidRPr="00E0015E">
        <w:rPr>
          <w:b/>
        </w:rPr>
        <w:tab/>
      </w:r>
      <w:r w:rsidR="000D0545" w:rsidRPr="00E0015E">
        <w:rPr>
          <w:b/>
        </w:rPr>
        <w:tab/>
      </w:r>
      <w:r w:rsidR="000D0545" w:rsidRPr="00E0015E">
        <w:rPr>
          <w:b/>
        </w:rPr>
        <w:tab/>
      </w:r>
      <w:r w:rsidR="00E2638D" w:rsidRPr="00E0015E">
        <w:rPr>
          <w:b/>
        </w:rPr>
        <w:tab/>
      </w:r>
      <w:r w:rsidR="00E2638D" w:rsidRPr="00E0015E">
        <w:rPr>
          <w:b/>
        </w:rPr>
        <w:tab/>
      </w:r>
      <w:r>
        <w:rPr>
          <w:b/>
        </w:rPr>
        <w:tab/>
      </w:r>
    </w:p>
    <w:p w:rsidR="00301D63" w:rsidRDefault="006540E2" w:rsidP="00C178F9">
      <w:pPr>
        <w:pStyle w:val="ListParagraph"/>
        <w:spacing w:after="0"/>
        <w:ind w:left="426"/>
        <w:jc w:val="both"/>
        <w:rPr>
          <w:b/>
        </w:rPr>
      </w:pPr>
      <w:r>
        <w:rPr>
          <w:b/>
        </w:rPr>
        <w:t>Richard Guy – Deputy D</w:t>
      </w:r>
      <w:r w:rsidR="00301D63" w:rsidRPr="00E0015E">
        <w:rPr>
          <w:b/>
        </w:rPr>
        <w:t xml:space="preserve">irector Quality – Institute for Apprenticeships </w:t>
      </w:r>
    </w:p>
    <w:p w:rsidR="00C178F9" w:rsidRPr="00C178F9" w:rsidRDefault="00C178F9" w:rsidP="00C178F9">
      <w:pPr>
        <w:pStyle w:val="ListParagraph"/>
        <w:spacing w:after="0"/>
        <w:ind w:left="426"/>
        <w:jc w:val="both"/>
      </w:pPr>
      <w:r w:rsidRPr="00C178F9">
        <w:t>Richard described:</w:t>
      </w:r>
    </w:p>
    <w:p w:rsidR="00E0015E" w:rsidRPr="00C178F9" w:rsidRDefault="00E0015E" w:rsidP="007F4975">
      <w:pPr>
        <w:pStyle w:val="ListParagraph"/>
        <w:numPr>
          <w:ilvl w:val="0"/>
          <w:numId w:val="5"/>
        </w:numPr>
      </w:pPr>
      <w:r w:rsidRPr="00C178F9">
        <w:t xml:space="preserve">The role of the Institute for Apprenticeship </w:t>
      </w:r>
    </w:p>
    <w:p w:rsidR="00E0015E" w:rsidRPr="00C178F9" w:rsidRDefault="00E0015E" w:rsidP="007F4975">
      <w:pPr>
        <w:pStyle w:val="ListParagraph"/>
        <w:numPr>
          <w:ilvl w:val="0"/>
          <w:numId w:val="5"/>
        </w:numPr>
      </w:pPr>
      <w:r w:rsidRPr="00C178F9">
        <w:t>The “Quality Alliance”</w:t>
      </w:r>
    </w:p>
    <w:p w:rsidR="006C5ACC" w:rsidRDefault="00E0015E" w:rsidP="007F4975">
      <w:pPr>
        <w:pStyle w:val="ListParagraph"/>
        <w:numPr>
          <w:ilvl w:val="0"/>
          <w:numId w:val="5"/>
        </w:numPr>
      </w:pPr>
      <w:r w:rsidRPr="00C178F9">
        <w:t>The Ins</w:t>
      </w:r>
      <w:r w:rsidR="00731AA1">
        <w:t>titute’s Quality Statement and S</w:t>
      </w:r>
      <w:r w:rsidRPr="00C178F9">
        <w:t>trategy</w:t>
      </w:r>
      <w:r w:rsidR="00731AA1">
        <w:t xml:space="preserve"> have</w:t>
      </w:r>
      <w:r w:rsidR="00C178F9">
        <w:t xml:space="preserve"> been published and delegates were urged to respond to the consultation via the following link by the closing </w:t>
      </w:r>
      <w:r w:rsidR="00731AA1">
        <w:t>d</w:t>
      </w:r>
      <w:r w:rsidR="00C178F9">
        <w:t>ate of the 18</w:t>
      </w:r>
      <w:r w:rsidR="00C178F9" w:rsidRPr="00C178F9">
        <w:rPr>
          <w:vertAlign w:val="superscript"/>
        </w:rPr>
        <w:t>th</w:t>
      </w:r>
      <w:r w:rsidR="00C178F9">
        <w:t xml:space="preserve"> October</w:t>
      </w:r>
    </w:p>
    <w:p w:rsidR="00C178F9" w:rsidRDefault="004341F9" w:rsidP="007F4975">
      <w:pPr>
        <w:pStyle w:val="ListParagraph"/>
        <w:numPr>
          <w:ilvl w:val="0"/>
          <w:numId w:val="5"/>
        </w:numPr>
      </w:pPr>
      <w:hyperlink r:id="rId8" w:history="1">
        <w:r w:rsidR="00C178F9" w:rsidRPr="00C178F9">
          <w:rPr>
            <w:rStyle w:val="Hyperlink"/>
          </w:rPr>
          <w:t>Institute for Apprenticeships sets out vision on quality - GOV.UK</w:t>
        </w:r>
      </w:hyperlink>
    </w:p>
    <w:p w:rsidR="00C178F9" w:rsidRDefault="00C178F9" w:rsidP="00C178F9">
      <w:pPr>
        <w:tabs>
          <w:tab w:val="left" w:pos="426"/>
        </w:tabs>
      </w:pPr>
      <w:r>
        <w:tab/>
        <w:t>Key issues moving forward</w:t>
      </w:r>
    </w:p>
    <w:p w:rsidR="00C178F9" w:rsidRDefault="00C178F9" w:rsidP="007F4975">
      <w:pPr>
        <w:pStyle w:val="ListParagraph"/>
        <w:numPr>
          <w:ilvl w:val="0"/>
          <w:numId w:val="9"/>
        </w:numPr>
        <w:tabs>
          <w:tab w:val="left" w:pos="426"/>
        </w:tabs>
      </w:pPr>
      <w:r>
        <w:t>Driving up quality and the opportunity for providers to input the overall employer led quality strategy</w:t>
      </w:r>
    </w:p>
    <w:p w:rsidR="00C178F9" w:rsidRDefault="00D078F4" w:rsidP="007F4975">
      <w:pPr>
        <w:pStyle w:val="ListParagraph"/>
        <w:numPr>
          <w:ilvl w:val="0"/>
          <w:numId w:val="9"/>
        </w:numPr>
        <w:tabs>
          <w:tab w:val="left" w:pos="426"/>
        </w:tabs>
      </w:pPr>
      <w:r>
        <w:t xml:space="preserve">The need to develop models for the 20% delivery for each occupation and sector but this would take time </w:t>
      </w:r>
    </w:p>
    <w:p w:rsidR="00E0015E" w:rsidRDefault="00E0015E" w:rsidP="00E0015E">
      <w:pPr>
        <w:pStyle w:val="ListParagraph"/>
        <w:tabs>
          <w:tab w:val="left" w:pos="0"/>
        </w:tabs>
        <w:spacing w:after="0"/>
        <w:ind w:left="426"/>
        <w:jc w:val="both"/>
        <w:rPr>
          <w:b/>
        </w:rPr>
      </w:pPr>
    </w:p>
    <w:p w:rsidR="000D0545" w:rsidRPr="00301D63" w:rsidRDefault="00301D63" w:rsidP="000D0545">
      <w:pPr>
        <w:pStyle w:val="ListParagraph"/>
        <w:numPr>
          <w:ilvl w:val="0"/>
          <w:numId w:val="1"/>
        </w:numPr>
        <w:tabs>
          <w:tab w:val="left" w:pos="0"/>
        </w:tabs>
        <w:spacing w:after="0"/>
        <w:ind w:left="426" w:hanging="426"/>
        <w:jc w:val="both"/>
        <w:rPr>
          <w:b/>
        </w:rPr>
      </w:pPr>
      <w:r>
        <w:rPr>
          <w:b/>
        </w:rPr>
        <w:t>The Of</w:t>
      </w:r>
      <w:r w:rsidR="00731AA1">
        <w:rPr>
          <w:b/>
        </w:rPr>
        <w:t>sted</w:t>
      </w:r>
      <w:r>
        <w:rPr>
          <w:b/>
        </w:rPr>
        <w:t xml:space="preserve"> Common Inspection Framework Moving Forward</w:t>
      </w:r>
      <w:r w:rsidR="000D0545" w:rsidRPr="00301D63">
        <w:rPr>
          <w:b/>
        </w:rPr>
        <w:tab/>
      </w:r>
      <w:r w:rsidR="000D0545" w:rsidRPr="00301D63">
        <w:rPr>
          <w:b/>
        </w:rPr>
        <w:tab/>
      </w:r>
      <w:r>
        <w:rPr>
          <w:b/>
        </w:rPr>
        <w:tab/>
      </w:r>
      <w:r>
        <w:rPr>
          <w:b/>
        </w:rPr>
        <w:tab/>
      </w:r>
      <w:r>
        <w:rPr>
          <w:b/>
        </w:rPr>
        <w:tab/>
      </w:r>
    </w:p>
    <w:p w:rsidR="00E2638D" w:rsidRDefault="00301D63" w:rsidP="000D0545">
      <w:pPr>
        <w:pStyle w:val="ListParagraph"/>
        <w:spacing w:after="0"/>
        <w:ind w:left="426"/>
        <w:jc w:val="both"/>
        <w:rPr>
          <w:b/>
        </w:rPr>
      </w:pPr>
      <w:r>
        <w:rPr>
          <w:b/>
        </w:rPr>
        <w:t xml:space="preserve">Chris Jones – Senior HMI and </w:t>
      </w:r>
      <w:proofErr w:type="spellStart"/>
      <w:r>
        <w:rPr>
          <w:b/>
        </w:rPr>
        <w:t>OfSTED</w:t>
      </w:r>
      <w:proofErr w:type="spellEnd"/>
      <w:r>
        <w:rPr>
          <w:b/>
        </w:rPr>
        <w:t xml:space="preserve"> lead for apprenticeships</w:t>
      </w:r>
    </w:p>
    <w:p w:rsidR="00117A55" w:rsidRPr="00D078F4" w:rsidRDefault="00117A55" w:rsidP="007F4975">
      <w:pPr>
        <w:pStyle w:val="ListParagraph"/>
        <w:numPr>
          <w:ilvl w:val="0"/>
          <w:numId w:val="4"/>
        </w:numPr>
        <w:spacing w:after="0"/>
        <w:jc w:val="both"/>
      </w:pPr>
      <w:r w:rsidRPr="00D078F4">
        <w:t>Changes to the inspection handbook</w:t>
      </w:r>
    </w:p>
    <w:p w:rsidR="00117A55" w:rsidRPr="00D078F4" w:rsidRDefault="00117A55" w:rsidP="007F4975">
      <w:pPr>
        <w:pStyle w:val="ListParagraph"/>
        <w:numPr>
          <w:ilvl w:val="0"/>
          <w:numId w:val="4"/>
        </w:numPr>
        <w:spacing w:after="0"/>
        <w:jc w:val="both"/>
      </w:pPr>
      <w:r w:rsidRPr="00D078F4">
        <w:t>What this means for providers</w:t>
      </w:r>
    </w:p>
    <w:p w:rsidR="000D0545" w:rsidRPr="00D078F4" w:rsidRDefault="00117A55" w:rsidP="007F4975">
      <w:pPr>
        <w:pStyle w:val="ListParagraph"/>
        <w:numPr>
          <w:ilvl w:val="0"/>
          <w:numId w:val="4"/>
        </w:numPr>
        <w:spacing w:after="0"/>
        <w:jc w:val="both"/>
      </w:pPr>
      <w:r w:rsidRPr="00D078F4">
        <w:t>The range of evidence that providers need to make available</w:t>
      </w:r>
    </w:p>
    <w:p w:rsidR="00731AA1" w:rsidRDefault="00D078F4" w:rsidP="006C5ACC">
      <w:pPr>
        <w:spacing w:after="0"/>
        <w:jc w:val="both"/>
        <w:rPr>
          <w:b/>
        </w:rPr>
      </w:pPr>
      <w:r>
        <w:rPr>
          <w:b/>
        </w:rPr>
        <w:tab/>
      </w:r>
    </w:p>
    <w:p w:rsidR="00E0015E" w:rsidRDefault="00D078F4" w:rsidP="006C5ACC">
      <w:pPr>
        <w:spacing w:after="0"/>
        <w:jc w:val="both"/>
        <w:rPr>
          <w:b/>
        </w:rPr>
      </w:pPr>
      <w:r>
        <w:rPr>
          <w:b/>
        </w:rPr>
        <w:t>In addition Chris drew attention to:</w:t>
      </w:r>
    </w:p>
    <w:p w:rsidR="00E0015E" w:rsidRDefault="00D078F4" w:rsidP="007F4975">
      <w:pPr>
        <w:pStyle w:val="ListParagraph"/>
        <w:numPr>
          <w:ilvl w:val="0"/>
          <w:numId w:val="10"/>
        </w:numPr>
        <w:spacing w:after="0"/>
        <w:jc w:val="both"/>
      </w:pPr>
      <w:r>
        <w:t xml:space="preserve">The need to support the 125 ‘new’ providers now in scope for </w:t>
      </w:r>
      <w:proofErr w:type="spellStart"/>
      <w:r>
        <w:t>OfSTED</w:t>
      </w:r>
      <w:proofErr w:type="spellEnd"/>
      <w:r>
        <w:t xml:space="preserve"> inspection and the role which existing providers might play in supporting these new providers</w:t>
      </w:r>
    </w:p>
    <w:p w:rsidR="00D078F4" w:rsidRDefault="00D078F4" w:rsidP="007F4975">
      <w:pPr>
        <w:pStyle w:val="ListParagraph"/>
        <w:numPr>
          <w:ilvl w:val="0"/>
          <w:numId w:val="10"/>
        </w:numPr>
        <w:spacing w:after="0"/>
        <w:jc w:val="both"/>
      </w:pPr>
      <w:r>
        <w:t>The importance of being able to demonstrate the acquisition and utilisation of new skills by Apprentices was key in demonstrating that the off the j</w:t>
      </w:r>
      <w:r w:rsidR="00731AA1">
        <w:t>o</w:t>
      </w:r>
      <w:r>
        <w:t>b elements were being delivered</w:t>
      </w:r>
    </w:p>
    <w:p w:rsidR="00FF2BDC" w:rsidRDefault="00FF2BDC" w:rsidP="00D078F4">
      <w:pPr>
        <w:spacing w:after="0"/>
        <w:ind w:left="720"/>
        <w:jc w:val="both"/>
        <w:rPr>
          <w:b/>
        </w:rPr>
      </w:pPr>
    </w:p>
    <w:p w:rsidR="00FF2BDC" w:rsidRDefault="00FF2BDC" w:rsidP="00D078F4">
      <w:pPr>
        <w:spacing w:after="0"/>
        <w:ind w:left="720"/>
        <w:jc w:val="both"/>
        <w:rPr>
          <w:b/>
        </w:rPr>
      </w:pPr>
    </w:p>
    <w:p w:rsidR="00D078F4" w:rsidRPr="00D078F4" w:rsidRDefault="00731AA1" w:rsidP="00D078F4">
      <w:pPr>
        <w:spacing w:after="0"/>
        <w:ind w:left="720"/>
        <w:jc w:val="both"/>
        <w:rPr>
          <w:b/>
        </w:rPr>
      </w:pPr>
      <w:r>
        <w:rPr>
          <w:b/>
        </w:rPr>
        <w:t>Questions and statements from</w:t>
      </w:r>
      <w:r w:rsidR="00D078F4" w:rsidRPr="00D078F4">
        <w:rPr>
          <w:b/>
        </w:rPr>
        <w:t xml:space="preserve"> delegate</w:t>
      </w:r>
      <w:r>
        <w:rPr>
          <w:b/>
        </w:rPr>
        <w:t>s</w:t>
      </w:r>
      <w:r w:rsidR="00D078F4" w:rsidRPr="00D078F4">
        <w:rPr>
          <w:b/>
        </w:rPr>
        <w:t xml:space="preserve"> identified:</w:t>
      </w:r>
    </w:p>
    <w:p w:rsidR="00D078F4" w:rsidRDefault="00D078F4" w:rsidP="007F4975">
      <w:pPr>
        <w:pStyle w:val="ListParagraph"/>
        <w:numPr>
          <w:ilvl w:val="0"/>
          <w:numId w:val="11"/>
        </w:numPr>
        <w:spacing w:after="0"/>
        <w:jc w:val="both"/>
      </w:pPr>
      <w:r>
        <w:t>The gap in the HE QAA framework/</w:t>
      </w:r>
      <w:proofErr w:type="spellStart"/>
      <w:r>
        <w:t>OfSTED</w:t>
      </w:r>
      <w:proofErr w:type="spellEnd"/>
      <w:r>
        <w:t xml:space="preserve"> CIF  in relation to those aspects of a degree Apprenticeship which are not part of the degree</w:t>
      </w:r>
    </w:p>
    <w:p w:rsidR="00D078F4" w:rsidRPr="00D078F4" w:rsidRDefault="00D078F4" w:rsidP="007F4975">
      <w:pPr>
        <w:pStyle w:val="ListParagraph"/>
        <w:numPr>
          <w:ilvl w:val="0"/>
          <w:numId w:val="11"/>
        </w:numPr>
        <w:spacing w:after="0"/>
        <w:jc w:val="both"/>
      </w:pPr>
      <w:r>
        <w:t xml:space="preserve">Public sector fixed term contracts which are less than the duration of the Apprenticeship </w:t>
      </w:r>
    </w:p>
    <w:p w:rsidR="00D078F4" w:rsidRPr="00D078F4" w:rsidRDefault="00D078F4" w:rsidP="006C5ACC">
      <w:pPr>
        <w:spacing w:after="0"/>
        <w:jc w:val="both"/>
      </w:pPr>
    </w:p>
    <w:p w:rsidR="006C5ACC" w:rsidRDefault="006C5ACC" w:rsidP="00E2638D">
      <w:pPr>
        <w:tabs>
          <w:tab w:val="left" w:pos="426"/>
        </w:tabs>
        <w:spacing w:after="0" w:line="240" w:lineRule="auto"/>
        <w:rPr>
          <w:b/>
        </w:rPr>
      </w:pPr>
    </w:p>
    <w:p w:rsidR="006C5ACC" w:rsidRDefault="006C5ACC" w:rsidP="00301D63">
      <w:pPr>
        <w:tabs>
          <w:tab w:val="left" w:pos="426"/>
        </w:tabs>
        <w:spacing w:after="0" w:line="240" w:lineRule="auto"/>
        <w:rPr>
          <w:b/>
        </w:rPr>
      </w:pPr>
      <w:r>
        <w:rPr>
          <w:b/>
        </w:rPr>
        <w:t>5</w:t>
      </w:r>
      <w:r w:rsidR="00301D63" w:rsidRPr="00301D63">
        <w:rPr>
          <w:b/>
        </w:rPr>
        <w:t>.</w:t>
      </w:r>
      <w:r w:rsidR="00301D63" w:rsidRPr="00301D63">
        <w:rPr>
          <w:b/>
        </w:rPr>
        <w:tab/>
      </w:r>
      <w:r>
        <w:rPr>
          <w:b/>
        </w:rPr>
        <w:t>The Funding Reform</w:t>
      </w:r>
      <w:r w:rsidR="00E0015E">
        <w:rPr>
          <w:b/>
        </w:rPr>
        <w:t>s</w:t>
      </w:r>
      <w:r>
        <w:rPr>
          <w:b/>
        </w:rPr>
        <w:t xml:space="preserve"> in Action </w:t>
      </w:r>
      <w:r>
        <w:rPr>
          <w:b/>
        </w:rPr>
        <w:tab/>
      </w:r>
      <w:r>
        <w:rPr>
          <w:b/>
        </w:rPr>
        <w:tab/>
      </w:r>
      <w:r>
        <w:rPr>
          <w:b/>
        </w:rPr>
        <w:tab/>
      </w:r>
      <w:r>
        <w:rPr>
          <w:b/>
        </w:rPr>
        <w:tab/>
      </w:r>
      <w:r>
        <w:rPr>
          <w:b/>
        </w:rPr>
        <w:tab/>
      </w:r>
      <w:r>
        <w:rPr>
          <w:b/>
        </w:rPr>
        <w:tab/>
      </w:r>
      <w:r>
        <w:rPr>
          <w:b/>
        </w:rPr>
        <w:tab/>
      </w:r>
      <w:r>
        <w:rPr>
          <w:b/>
        </w:rPr>
        <w:tab/>
      </w:r>
      <w:r>
        <w:rPr>
          <w:b/>
        </w:rPr>
        <w:tab/>
        <w:t>11-00</w:t>
      </w:r>
    </w:p>
    <w:p w:rsidR="00D308DD" w:rsidRDefault="006C5ACC" w:rsidP="00301D63">
      <w:pPr>
        <w:tabs>
          <w:tab w:val="left" w:pos="426"/>
        </w:tabs>
        <w:spacing w:after="0" w:line="240" w:lineRule="auto"/>
        <w:rPr>
          <w:b/>
        </w:rPr>
      </w:pPr>
      <w:r>
        <w:rPr>
          <w:b/>
        </w:rPr>
        <w:tab/>
        <w:t>K</w:t>
      </w:r>
      <w:r w:rsidR="00D078F4">
        <w:rPr>
          <w:b/>
        </w:rPr>
        <w:t xml:space="preserve">irsty Evans – </w:t>
      </w:r>
      <w:r>
        <w:rPr>
          <w:b/>
        </w:rPr>
        <w:t>E</w:t>
      </w:r>
      <w:r w:rsidR="00D078F4">
        <w:rPr>
          <w:b/>
        </w:rPr>
        <w:t xml:space="preserve">ducation and </w:t>
      </w:r>
      <w:r>
        <w:rPr>
          <w:b/>
        </w:rPr>
        <w:t>S</w:t>
      </w:r>
      <w:r w:rsidR="00D078F4">
        <w:rPr>
          <w:b/>
        </w:rPr>
        <w:t xml:space="preserve">kills Funding </w:t>
      </w:r>
      <w:r>
        <w:rPr>
          <w:b/>
        </w:rPr>
        <w:t>A</w:t>
      </w:r>
      <w:r w:rsidR="00D078F4">
        <w:rPr>
          <w:b/>
        </w:rPr>
        <w:t>gency</w:t>
      </w:r>
      <w:r>
        <w:rPr>
          <w:b/>
        </w:rPr>
        <w:t xml:space="preserve"> </w:t>
      </w:r>
      <w:r>
        <w:rPr>
          <w:b/>
        </w:rPr>
        <w:tab/>
      </w:r>
    </w:p>
    <w:p w:rsidR="00A41638" w:rsidRDefault="006C5ACC" w:rsidP="00301D63">
      <w:pPr>
        <w:tabs>
          <w:tab w:val="left" w:pos="426"/>
        </w:tabs>
        <w:spacing w:after="0" w:line="240" w:lineRule="auto"/>
        <w:rPr>
          <w:b/>
        </w:rPr>
      </w:pPr>
      <w:r>
        <w:rPr>
          <w:b/>
        </w:rPr>
        <w:tab/>
      </w:r>
    </w:p>
    <w:p w:rsidR="006C5ACC" w:rsidRDefault="00A41638" w:rsidP="00301D63">
      <w:pPr>
        <w:tabs>
          <w:tab w:val="left" w:pos="426"/>
        </w:tabs>
        <w:spacing w:after="0" w:line="240" w:lineRule="auto"/>
        <w:rPr>
          <w:b/>
        </w:rPr>
      </w:pPr>
      <w:r>
        <w:rPr>
          <w:b/>
        </w:rPr>
        <w:tab/>
        <w:t xml:space="preserve">Apprenticeships </w:t>
      </w:r>
      <w:r>
        <w:rPr>
          <w:b/>
        </w:rPr>
        <w:tab/>
      </w:r>
      <w:r>
        <w:rPr>
          <w:b/>
        </w:rPr>
        <w:tab/>
      </w:r>
      <w:r>
        <w:rPr>
          <w:b/>
        </w:rPr>
        <w:tab/>
      </w:r>
    </w:p>
    <w:p w:rsidR="00301D63" w:rsidRPr="00D078F4" w:rsidRDefault="00D078F4" w:rsidP="007F4975">
      <w:pPr>
        <w:pStyle w:val="ListParagraph"/>
        <w:numPr>
          <w:ilvl w:val="0"/>
          <w:numId w:val="12"/>
        </w:numPr>
        <w:tabs>
          <w:tab w:val="left" w:pos="426"/>
        </w:tabs>
        <w:spacing w:after="0" w:line="240" w:lineRule="auto"/>
        <w:rPr>
          <w:b/>
        </w:rPr>
      </w:pPr>
      <w:r>
        <w:t xml:space="preserve">Recognition that as with any new system there were glitches with the DAS but the agency was working hard to resolve these but recognised the impact on starts &amp; performance.  In the Q&amp;A session Kirsty acknowledged that the performance management point one would need to be applied sensibly but stressed that funding would be made available. </w:t>
      </w:r>
    </w:p>
    <w:p w:rsidR="00D078F4" w:rsidRPr="00A41638" w:rsidRDefault="00D078F4" w:rsidP="007F4975">
      <w:pPr>
        <w:pStyle w:val="ListParagraph"/>
        <w:numPr>
          <w:ilvl w:val="0"/>
          <w:numId w:val="12"/>
        </w:numPr>
        <w:tabs>
          <w:tab w:val="left" w:pos="426"/>
        </w:tabs>
        <w:spacing w:after="0" w:line="240" w:lineRule="auto"/>
        <w:rPr>
          <w:b/>
        </w:rPr>
      </w:pPr>
      <w:r>
        <w:t>Starts volumes were down and minister recognised this. The priority was to develop a high quality sustainable system which enjoyed support from employers and Apprentices</w:t>
      </w:r>
      <w:r w:rsidR="00A41638">
        <w:t>.</w:t>
      </w:r>
    </w:p>
    <w:p w:rsidR="00A41638" w:rsidRPr="00A41638" w:rsidRDefault="00A41638" w:rsidP="007F4975">
      <w:pPr>
        <w:pStyle w:val="ListParagraph"/>
        <w:numPr>
          <w:ilvl w:val="0"/>
          <w:numId w:val="12"/>
        </w:numPr>
        <w:tabs>
          <w:tab w:val="left" w:pos="426"/>
        </w:tabs>
        <w:spacing w:after="0" w:line="240" w:lineRule="auto"/>
        <w:rPr>
          <w:b/>
        </w:rPr>
      </w:pPr>
      <w:r>
        <w:t xml:space="preserve">Policy colleagues were monitoring the situation to assess the impact of employer contributions and 20% off the job but would not make knee jerk changes. The system was after all only a few months old. It was clear however the impact varied considerably amongst sectors and some such as health and social care appeared to be particularly adversely impacted. </w:t>
      </w:r>
    </w:p>
    <w:p w:rsidR="00A41638" w:rsidRPr="00A41638" w:rsidRDefault="00A41638" w:rsidP="007F4975">
      <w:pPr>
        <w:pStyle w:val="ListParagraph"/>
        <w:numPr>
          <w:ilvl w:val="0"/>
          <w:numId w:val="12"/>
        </w:numPr>
        <w:tabs>
          <w:tab w:val="left" w:pos="426"/>
        </w:tabs>
        <w:spacing w:after="0" w:line="240" w:lineRule="auto"/>
        <w:rPr>
          <w:b/>
        </w:rPr>
      </w:pPr>
      <w:r>
        <w:t>Planned roll out of DAS still on course which will include consolidation of the technical support into a single portal/service available to both employers and providers</w:t>
      </w:r>
    </w:p>
    <w:p w:rsidR="00A41638" w:rsidRDefault="00A41638" w:rsidP="007F4975">
      <w:pPr>
        <w:pStyle w:val="ListParagraph"/>
        <w:numPr>
          <w:ilvl w:val="0"/>
          <w:numId w:val="12"/>
        </w:numPr>
        <w:tabs>
          <w:tab w:val="left" w:pos="426"/>
        </w:tabs>
        <w:spacing w:after="0" w:line="240" w:lineRule="auto"/>
      </w:pPr>
      <w:r w:rsidRPr="00A41638">
        <w:t>Other issues under consideration in relation to Apprenticeships:</w:t>
      </w:r>
    </w:p>
    <w:p w:rsidR="00A41638" w:rsidRDefault="00A41638" w:rsidP="007F4975">
      <w:pPr>
        <w:pStyle w:val="ListParagraph"/>
        <w:numPr>
          <w:ilvl w:val="1"/>
          <w:numId w:val="12"/>
        </w:numPr>
        <w:tabs>
          <w:tab w:val="left" w:pos="426"/>
        </w:tabs>
        <w:spacing w:after="0" w:line="240" w:lineRule="auto"/>
      </w:pPr>
      <w:r>
        <w:t>Maths and English funding and LLDD and disadvantage uplifts</w:t>
      </w:r>
    </w:p>
    <w:p w:rsidR="00A41638" w:rsidRDefault="00A41638" w:rsidP="007F4975">
      <w:pPr>
        <w:pStyle w:val="ListParagraph"/>
        <w:numPr>
          <w:ilvl w:val="1"/>
          <w:numId w:val="12"/>
        </w:numPr>
        <w:tabs>
          <w:tab w:val="left" w:pos="426"/>
        </w:tabs>
        <w:spacing w:after="0" w:line="240" w:lineRule="auto"/>
      </w:pPr>
      <w:r>
        <w:t>The rate of switch off of SASE Frameworks</w:t>
      </w:r>
    </w:p>
    <w:p w:rsidR="00A41638" w:rsidRDefault="00A41638" w:rsidP="007F4975">
      <w:pPr>
        <w:pStyle w:val="ListParagraph"/>
        <w:numPr>
          <w:ilvl w:val="1"/>
          <w:numId w:val="12"/>
        </w:numPr>
        <w:tabs>
          <w:tab w:val="left" w:pos="426"/>
        </w:tabs>
        <w:spacing w:after="0" w:line="240" w:lineRule="auto"/>
      </w:pPr>
      <w:r>
        <w:t>Changes to the DAS reporting system</w:t>
      </w:r>
    </w:p>
    <w:p w:rsidR="00A41638" w:rsidRPr="00A41638" w:rsidRDefault="00A41638" w:rsidP="007F4975">
      <w:pPr>
        <w:pStyle w:val="ListParagraph"/>
        <w:numPr>
          <w:ilvl w:val="1"/>
          <w:numId w:val="12"/>
        </w:numPr>
        <w:tabs>
          <w:tab w:val="left" w:pos="426"/>
        </w:tabs>
        <w:spacing w:after="0" w:line="240" w:lineRule="auto"/>
      </w:pPr>
      <w:r>
        <w:t>Changes to Find an Apprenticeship to simplify the search fields</w:t>
      </w:r>
    </w:p>
    <w:p w:rsidR="006C5ACC" w:rsidRDefault="006C5ACC" w:rsidP="00E2638D">
      <w:pPr>
        <w:tabs>
          <w:tab w:val="left" w:pos="426"/>
        </w:tabs>
        <w:spacing w:after="0" w:line="240" w:lineRule="auto"/>
        <w:rPr>
          <w:b/>
        </w:rPr>
      </w:pPr>
    </w:p>
    <w:p w:rsidR="00A41638" w:rsidRDefault="00A41638" w:rsidP="00E2638D">
      <w:pPr>
        <w:tabs>
          <w:tab w:val="left" w:pos="426"/>
        </w:tabs>
        <w:spacing w:after="0" w:line="240" w:lineRule="auto"/>
        <w:rPr>
          <w:b/>
        </w:rPr>
      </w:pPr>
      <w:r>
        <w:rPr>
          <w:b/>
        </w:rPr>
        <w:tab/>
        <w:t xml:space="preserve">Technical Education </w:t>
      </w:r>
    </w:p>
    <w:p w:rsidR="00A41638" w:rsidRDefault="00A41638" w:rsidP="007F4975">
      <w:pPr>
        <w:pStyle w:val="ListParagraph"/>
        <w:numPr>
          <w:ilvl w:val="0"/>
          <w:numId w:val="13"/>
        </w:numPr>
        <w:tabs>
          <w:tab w:val="left" w:pos="426"/>
        </w:tabs>
        <w:spacing w:after="0" w:line="240" w:lineRule="auto"/>
      </w:pPr>
      <w:r w:rsidRPr="00A41638">
        <w:t>Description that the policy was moving forward but slower than originally envisaged</w:t>
      </w:r>
    </w:p>
    <w:p w:rsidR="00A41638" w:rsidRPr="00A41638" w:rsidRDefault="00A41638" w:rsidP="007F4975">
      <w:pPr>
        <w:pStyle w:val="ListParagraph"/>
        <w:numPr>
          <w:ilvl w:val="0"/>
          <w:numId w:val="13"/>
        </w:numPr>
        <w:tabs>
          <w:tab w:val="left" w:pos="426"/>
        </w:tabs>
        <w:spacing w:after="0" w:line="240" w:lineRule="auto"/>
      </w:pPr>
      <w:r>
        <w:rPr>
          <w:b/>
        </w:rPr>
        <w:t xml:space="preserve">The Autumn Statement will set out an implementation plan and there will be consultation and it was important that all types of providers responded. </w:t>
      </w:r>
    </w:p>
    <w:p w:rsidR="00A41638" w:rsidRDefault="00A41638" w:rsidP="00E2638D">
      <w:pPr>
        <w:tabs>
          <w:tab w:val="left" w:pos="426"/>
        </w:tabs>
        <w:spacing w:after="0" w:line="240" w:lineRule="auto"/>
        <w:rPr>
          <w:b/>
        </w:rPr>
      </w:pPr>
    </w:p>
    <w:p w:rsidR="006C5ACC" w:rsidRDefault="006C5ACC" w:rsidP="00E2638D">
      <w:pPr>
        <w:tabs>
          <w:tab w:val="left" w:pos="426"/>
        </w:tabs>
        <w:spacing w:after="0" w:line="240" w:lineRule="auto"/>
        <w:rPr>
          <w:b/>
        </w:rPr>
      </w:pPr>
      <w:r>
        <w:rPr>
          <w:b/>
        </w:rPr>
        <w:t>6</w:t>
      </w:r>
      <w:r w:rsidR="000D0545" w:rsidRPr="00EC14A1">
        <w:rPr>
          <w:b/>
        </w:rPr>
        <w:t>.</w:t>
      </w:r>
      <w:r w:rsidR="000D0545" w:rsidRPr="00EC14A1">
        <w:rPr>
          <w:b/>
        </w:rPr>
        <w:tab/>
      </w:r>
      <w:r>
        <w:rPr>
          <w:b/>
        </w:rPr>
        <w:t>The Current Challenges</w:t>
      </w:r>
      <w:r>
        <w:rPr>
          <w:b/>
        </w:rPr>
        <w:tab/>
      </w:r>
      <w:r>
        <w:rPr>
          <w:b/>
        </w:rPr>
        <w:tab/>
      </w:r>
      <w:r>
        <w:rPr>
          <w:b/>
        </w:rPr>
        <w:tab/>
      </w:r>
      <w:r>
        <w:rPr>
          <w:b/>
        </w:rPr>
        <w:tab/>
      </w:r>
      <w:r>
        <w:rPr>
          <w:b/>
        </w:rPr>
        <w:tab/>
      </w:r>
      <w:r>
        <w:rPr>
          <w:b/>
        </w:rPr>
        <w:tab/>
      </w:r>
      <w:r>
        <w:rPr>
          <w:b/>
        </w:rPr>
        <w:tab/>
      </w:r>
      <w:r>
        <w:rPr>
          <w:b/>
        </w:rPr>
        <w:tab/>
      </w:r>
      <w:r>
        <w:rPr>
          <w:b/>
        </w:rPr>
        <w:tab/>
      </w:r>
      <w:r>
        <w:rPr>
          <w:b/>
        </w:rPr>
        <w:tab/>
      </w:r>
    </w:p>
    <w:p w:rsidR="00E669B6" w:rsidRDefault="006C5ACC" w:rsidP="00E2638D">
      <w:pPr>
        <w:tabs>
          <w:tab w:val="left" w:pos="426"/>
        </w:tabs>
        <w:spacing w:after="0" w:line="240" w:lineRule="auto"/>
        <w:rPr>
          <w:b/>
        </w:rPr>
      </w:pPr>
      <w:r>
        <w:rPr>
          <w:b/>
        </w:rPr>
        <w:tab/>
      </w:r>
      <w:r w:rsidR="000D0545" w:rsidRPr="00EC14A1">
        <w:rPr>
          <w:b/>
        </w:rPr>
        <w:t>Mark Dawe</w:t>
      </w:r>
      <w:r>
        <w:rPr>
          <w:b/>
        </w:rPr>
        <w:t xml:space="preserve"> </w:t>
      </w:r>
      <w:r w:rsidR="0097041A">
        <w:rPr>
          <w:b/>
        </w:rPr>
        <w:t>-</w:t>
      </w:r>
      <w:r>
        <w:rPr>
          <w:b/>
        </w:rPr>
        <w:t xml:space="preserve"> </w:t>
      </w:r>
      <w:r w:rsidRPr="00EC14A1">
        <w:rPr>
          <w:b/>
        </w:rPr>
        <w:t>Chief Executive AELP</w:t>
      </w:r>
      <w:r w:rsidR="000D0545">
        <w:tab/>
      </w:r>
      <w:r w:rsidR="000D0545" w:rsidRPr="00281974">
        <w:rPr>
          <w:b/>
        </w:rPr>
        <w:tab/>
      </w:r>
      <w:r w:rsidR="000D0545" w:rsidRPr="0015766B">
        <w:rPr>
          <w:b/>
        </w:rPr>
        <w:tab/>
      </w:r>
      <w:r w:rsidR="000D0545" w:rsidRPr="0015766B">
        <w:rPr>
          <w:b/>
        </w:rPr>
        <w:tab/>
      </w:r>
      <w:r w:rsidR="000D0545" w:rsidRPr="0015766B">
        <w:rPr>
          <w:b/>
        </w:rPr>
        <w:tab/>
      </w:r>
      <w:r w:rsidR="000D0545" w:rsidRPr="0015766B">
        <w:rPr>
          <w:b/>
        </w:rPr>
        <w:tab/>
      </w:r>
      <w:r w:rsidR="00E2638D">
        <w:rPr>
          <w:b/>
        </w:rPr>
        <w:tab/>
      </w:r>
      <w:r w:rsidR="00E2638D">
        <w:rPr>
          <w:b/>
        </w:rPr>
        <w:tab/>
      </w:r>
      <w:r w:rsidR="00E2638D">
        <w:rPr>
          <w:b/>
        </w:rPr>
        <w:tab/>
      </w:r>
      <w:r w:rsidR="00E2638D">
        <w:rPr>
          <w:b/>
        </w:rPr>
        <w:tab/>
      </w:r>
    </w:p>
    <w:p w:rsidR="00E669B6" w:rsidRDefault="00E669B6" w:rsidP="00E2638D">
      <w:pPr>
        <w:tabs>
          <w:tab w:val="left" w:pos="426"/>
        </w:tabs>
        <w:spacing w:after="0" w:line="240" w:lineRule="auto"/>
        <w:rPr>
          <w:b/>
        </w:rPr>
      </w:pPr>
      <w:r>
        <w:rPr>
          <w:b/>
        </w:rPr>
        <w:tab/>
        <w:t>Mark raised the following issues:</w:t>
      </w:r>
    </w:p>
    <w:p w:rsidR="00E669B6" w:rsidRDefault="00E669B6" w:rsidP="00E2638D">
      <w:pPr>
        <w:tabs>
          <w:tab w:val="left" w:pos="426"/>
        </w:tabs>
        <w:spacing w:after="0" w:line="240" w:lineRule="auto"/>
        <w:rPr>
          <w:b/>
        </w:rPr>
      </w:pPr>
    </w:p>
    <w:p w:rsidR="00A41638" w:rsidRPr="00E669B6" w:rsidRDefault="00E669B6" w:rsidP="00E2638D">
      <w:pPr>
        <w:tabs>
          <w:tab w:val="left" w:pos="426"/>
        </w:tabs>
        <w:spacing w:after="0" w:line="240" w:lineRule="auto"/>
        <w:rPr>
          <w:b/>
        </w:rPr>
      </w:pPr>
      <w:r w:rsidRPr="00E669B6">
        <w:rPr>
          <w:b/>
        </w:rPr>
        <w:tab/>
        <w:t>Adult Education Budget</w:t>
      </w:r>
    </w:p>
    <w:p w:rsidR="00A41638" w:rsidRDefault="00E669B6" w:rsidP="007F4975">
      <w:pPr>
        <w:pStyle w:val="ListParagraph"/>
        <w:numPr>
          <w:ilvl w:val="0"/>
          <w:numId w:val="14"/>
        </w:numPr>
        <w:tabs>
          <w:tab w:val="left" w:pos="426"/>
        </w:tabs>
        <w:spacing w:after="0" w:line="240" w:lineRule="auto"/>
      </w:pPr>
      <w:r>
        <w:t xml:space="preserve">Whilst the announcement of additional funding was welcome the whole procurement process was deeply flawed. </w:t>
      </w:r>
    </w:p>
    <w:p w:rsidR="00E669B6" w:rsidRDefault="00E669B6" w:rsidP="007F4975">
      <w:pPr>
        <w:pStyle w:val="ListParagraph"/>
        <w:numPr>
          <w:ilvl w:val="0"/>
          <w:numId w:val="14"/>
        </w:numPr>
        <w:tabs>
          <w:tab w:val="left" w:pos="426"/>
        </w:tabs>
        <w:spacing w:after="0" w:line="240" w:lineRule="auto"/>
      </w:pPr>
      <w:r>
        <w:t>In discussion it became apparent that the contract extensions for providers would not run beyond summer 2018 and in the devolved areas w</w:t>
      </w:r>
      <w:r w:rsidR="00731AA1">
        <w:t>here the process of devolution i</w:t>
      </w:r>
      <w:r>
        <w:t>s taki</w:t>
      </w:r>
      <w:r w:rsidR="00811D01">
        <w:t>n</w:t>
      </w:r>
      <w:r>
        <w:t xml:space="preserve">g much longer than planned there was a very real </w:t>
      </w:r>
      <w:r w:rsidR="00811D01">
        <w:t>risk</w:t>
      </w:r>
      <w:r>
        <w:t xml:space="preserve"> of the loss of provision and providers</w:t>
      </w:r>
      <w:r w:rsidR="00811D01">
        <w:t xml:space="preserve">. </w:t>
      </w:r>
    </w:p>
    <w:p w:rsidR="00811D01" w:rsidRDefault="00811D01" w:rsidP="00811D01">
      <w:pPr>
        <w:tabs>
          <w:tab w:val="left" w:pos="426"/>
        </w:tabs>
        <w:spacing w:after="0" w:line="240" w:lineRule="auto"/>
      </w:pPr>
    </w:p>
    <w:p w:rsidR="00811D01" w:rsidRPr="00811D01" w:rsidRDefault="00811D01" w:rsidP="00811D01">
      <w:pPr>
        <w:tabs>
          <w:tab w:val="left" w:pos="426"/>
        </w:tabs>
        <w:spacing w:after="0" w:line="240" w:lineRule="auto"/>
        <w:rPr>
          <w:b/>
        </w:rPr>
      </w:pPr>
      <w:r>
        <w:tab/>
      </w:r>
      <w:r>
        <w:rPr>
          <w:b/>
        </w:rPr>
        <w:t xml:space="preserve">Apprenticeships </w:t>
      </w:r>
    </w:p>
    <w:p w:rsidR="00A41638" w:rsidRDefault="00811D01" w:rsidP="007F4975">
      <w:pPr>
        <w:pStyle w:val="ListParagraph"/>
        <w:numPr>
          <w:ilvl w:val="0"/>
          <w:numId w:val="15"/>
        </w:numPr>
        <w:tabs>
          <w:tab w:val="left" w:pos="426"/>
        </w:tabs>
        <w:spacing w:after="0" w:line="240" w:lineRule="auto"/>
      </w:pPr>
      <w:r>
        <w:t>The current policy changes were too blunt – a quality system based primarily upon 20% off the job and a minimum duration was far too blunt and needed to be nuanced and the Institute for Apprenticeships needed to address this quickly and advise government accordingly.</w:t>
      </w:r>
    </w:p>
    <w:p w:rsidR="00811D01" w:rsidRDefault="00811D01" w:rsidP="007F4975">
      <w:pPr>
        <w:pStyle w:val="ListParagraph"/>
        <w:numPr>
          <w:ilvl w:val="0"/>
          <w:numId w:val="15"/>
        </w:numPr>
        <w:tabs>
          <w:tab w:val="left" w:pos="426"/>
        </w:tabs>
        <w:spacing w:after="0" w:line="240" w:lineRule="auto"/>
      </w:pPr>
      <w:r>
        <w:t>The funding rates for Level 2 and existing budget co</w:t>
      </w:r>
      <w:r w:rsidR="00731AA1">
        <w:t>nstraints allied to the growth in</w:t>
      </w:r>
      <w:r>
        <w:t xml:space="preserve"> higher level more costly Apprenticeships was already impacting on social mobility. </w:t>
      </w:r>
    </w:p>
    <w:p w:rsidR="00811D01" w:rsidRDefault="00811D01" w:rsidP="007F4975">
      <w:pPr>
        <w:pStyle w:val="ListParagraph"/>
        <w:numPr>
          <w:ilvl w:val="0"/>
          <w:numId w:val="15"/>
        </w:numPr>
        <w:tabs>
          <w:tab w:val="left" w:pos="426"/>
        </w:tabs>
        <w:spacing w:after="0" w:line="240" w:lineRule="auto"/>
      </w:pPr>
      <w:r>
        <w:lastRenderedPageBreak/>
        <w:t>Employers in some sectors were already facing payroll pressures and simply could not accommodate the 10% contribution allied to the time off requirements.</w:t>
      </w:r>
    </w:p>
    <w:p w:rsidR="00811D01" w:rsidRDefault="00811D01" w:rsidP="007F4975">
      <w:pPr>
        <w:pStyle w:val="ListParagraph"/>
        <w:numPr>
          <w:ilvl w:val="0"/>
          <w:numId w:val="15"/>
        </w:numPr>
        <w:tabs>
          <w:tab w:val="left" w:pos="426"/>
        </w:tabs>
        <w:spacing w:after="0" w:line="240" w:lineRule="auto"/>
      </w:pPr>
      <w:r>
        <w:t>Whilst accepting that the ESFA might not accede to demands to reduce the minimum contract award the temporary relaxation on sub-contracting requirements should be sustained which would help to ensure the survival of some really excellent niche provision delivered by smaller providers.</w:t>
      </w:r>
    </w:p>
    <w:p w:rsidR="00A41638" w:rsidRDefault="00A41638" w:rsidP="00E2638D">
      <w:pPr>
        <w:tabs>
          <w:tab w:val="left" w:pos="426"/>
        </w:tabs>
        <w:spacing w:after="0" w:line="240" w:lineRule="auto"/>
      </w:pPr>
    </w:p>
    <w:p w:rsidR="00811D01" w:rsidRPr="00811D01" w:rsidRDefault="00811D01" w:rsidP="00E2638D">
      <w:pPr>
        <w:tabs>
          <w:tab w:val="left" w:pos="426"/>
        </w:tabs>
        <w:spacing w:after="0" w:line="240" w:lineRule="auto"/>
        <w:rPr>
          <w:b/>
        </w:rPr>
      </w:pPr>
      <w:r w:rsidRPr="00811D01">
        <w:rPr>
          <w:b/>
        </w:rPr>
        <w:tab/>
        <w:t>Technical Education</w:t>
      </w:r>
    </w:p>
    <w:p w:rsidR="00811D01" w:rsidRDefault="00811D01" w:rsidP="00E2638D">
      <w:pPr>
        <w:tabs>
          <w:tab w:val="left" w:pos="426"/>
        </w:tabs>
        <w:spacing w:after="0" w:line="240" w:lineRule="auto"/>
      </w:pPr>
    </w:p>
    <w:p w:rsidR="00811D01" w:rsidRDefault="007F4975" w:rsidP="007F4975">
      <w:pPr>
        <w:pStyle w:val="ListParagraph"/>
        <w:numPr>
          <w:ilvl w:val="0"/>
          <w:numId w:val="16"/>
        </w:numPr>
        <w:tabs>
          <w:tab w:val="left" w:pos="426"/>
        </w:tabs>
        <w:spacing w:after="0" w:line="240" w:lineRule="auto"/>
      </w:pPr>
      <w:r>
        <w:t xml:space="preserve">It was vital that within the 15 </w:t>
      </w:r>
      <w:proofErr w:type="spellStart"/>
      <w:r>
        <w:t>routeways</w:t>
      </w:r>
      <w:proofErr w:type="spellEnd"/>
      <w:r>
        <w:t xml:space="preserve"> there were clearly defined and available opportun</w:t>
      </w:r>
      <w:r w:rsidR="00731AA1">
        <w:t>ities for young people at both L</w:t>
      </w:r>
      <w:r>
        <w:t xml:space="preserve">evel 2 </w:t>
      </w:r>
      <w:proofErr w:type="gramStart"/>
      <w:r>
        <w:t>And</w:t>
      </w:r>
      <w:proofErr w:type="gramEnd"/>
      <w:r>
        <w:t xml:space="preserve"> Level 3.</w:t>
      </w:r>
    </w:p>
    <w:p w:rsidR="007F4975" w:rsidRDefault="007F4975" w:rsidP="007F4975">
      <w:pPr>
        <w:pStyle w:val="ListParagraph"/>
        <w:numPr>
          <w:ilvl w:val="0"/>
          <w:numId w:val="16"/>
        </w:numPr>
        <w:tabs>
          <w:tab w:val="left" w:pos="426"/>
        </w:tabs>
        <w:spacing w:after="0" w:line="240" w:lineRule="auto"/>
      </w:pPr>
      <w:r>
        <w:t>Developing a system whereby young people were able to access good quality work experience could not be delivered by colleges of further education working alone.  The overwhe</w:t>
      </w:r>
      <w:r w:rsidR="00731AA1">
        <w:t>lming majority of relationships</w:t>
      </w:r>
      <w:r>
        <w:t xml:space="preserve"> with employers were held by independent training providers who were working with them every day. There was an increasing tendency for larger employers to establish their own training provision and the design of any future system needed to ackno</w:t>
      </w:r>
      <w:r w:rsidR="00731AA1">
        <w:t xml:space="preserve">wledge these twin aspects if </w:t>
      </w:r>
      <w:r>
        <w:t xml:space="preserve">we are to deliver a successful technical education system </w:t>
      </w:r>
    </w:p>
    <w:p w:rsidR="00811D01" w:rsidRDefault="00811D01" w:rsidP="00E2638D">
      <w:pPr>
        <w:tabs>
          <w:tab w:val="left" w:pos="426"/>
        </w:tabs>
        <w:spacing w:after="0" w:line="240" w:lineRule="auto"/>
      </w:pPr>
    </w:p>
    <w:p w:rsidR="007F4975" w:rsidRPr="00FF2BDC" w:rsidRDefault="007F4975" w:rsidP="00E2638D">
      <w:pPr>
        <w:tabs>
          <w:tab w:val="left" w:pos="426"/>
        </w:tabs>
        <w:spacing w:after="0" w:line="240" w:lineRule="auto"/>
        <w:rPr>
          <w:b/>
        </w:rPr>
      </w:pPr>
      <w:r w:rsidRPr="00FF2BDC">
        <w:rPr>
          <w:b/>
        </w:rPr>
        <w:tab/>
      </w:r>
      <w:proofErr w:type="spellStart"/>
      <w:r w:rsidRPr="00FF2BDC">
        <w:rPr>
          <w:b/>
        </w:rPr>
        <w:t>OfSTED</w:t>
      </w:r>
      <w:proofErr w:type="spellEnd"/>
      <w:r w:rsidRPr="00FF2BDC">
        <w:rPr>
          <w:b/>
        </w:rPr>
        <w:t xml:space="preserve"> Inspections</w:t>
      </w:r>
    </w:p>
    <w:p w:rsidR="00811D01" w:rsidRDefault="007F4975" w:rsidP="007F4975">
      <w:pPr>
        <w:pStyle w:val="ListParagraph"/>
        <w:numPr>
          <w:ilvl w:val="0"/>
          <w:numId w:val="16"/>
        </w:numPr>
        <w:tabs>
          <w:tab w:val="left" w:pos="426"/>
        </w:tabs>
        <w:spacing w:after="0" w:line="240" w:lineRule="auto"/>
      </w:pPr>
      <w:proofErr w:type="spellStart"/>
      <w:r>
        <w:t>OfSTED</w:t>
      </w:r>
      <w:proofErr w:type="spellEnd"/>
      <w:r>
        <w:t xml:space="preserve"> have confirmed that, at a time where the system is witnessing increased turbulence and instability that where provider</w:t>
      </w:r>
      <w:r w:rsidR="00731AA1">
        <w:t>s</w:t>
      </w:r>
      <w:r>
        <w:t xml:space="preserve"> are taking on learners from providers where </w:t>
      </w:r>
      <w:r w:rsidR="00FF2BDC">
        <w:t>contracts</w:t>
      </w:r>
      <w:r>
        <w:t xml:space="preserve"> have been terminated and /or they have ceased training </w:t>
      </w:r>
      <w:proofErr w:type="spellStart"/>
      <w:r>
        <w:t>OfSTED</w:t>
      </w:r>
      <w:proofErr w:type="spellEnd"/>
      <w:r>
        <w:t xml:space="preserve"> will henceforth take this into </w:t>
      </w:r>
      <w:r w:rsidR="00FF2BDC">
        <w:t>account</w:t>
      </w:r>
      <w:r>
        <w:t xml:space="preserve"> when considering success rates etc. </w:t>
      </w:r>
    </w:p>
    <w:p w:rsidR="00811D01" w:rsidRDefault="00811D01" w:rsidP="00E2638D">
      <w:pPr>
        <w:tabs>
          <w:tab w:val="left" w:pos="426"/>
        </w:tabs>
        <w:spacing w:after="0" w:line="240" w:lineRule="auto"/>
      </w:pPr>
    </w:p>
    <w:p w:rsidR="00FF2BDC" w:rsidRPr="00FF2BDC" w:rsidRDefault="00FF2BDC" w:rsidP="00E2638D">
      <w:pPr>
        <w:tabs>
          <w:tab w:val="left" w:pos="426"/>
        </w:tabs>
        <w:spacing w:after="0" w:line="240" w:lineRule="auto"/>
        <w:rPr>
          <w:b/>
        </w:rPr>
      </w:pPr>
      <w:r w:rsidRPr="00FF2BDC">
        <w:rPr>
          <w:b/>
        </w:rPr>
        <w:tab/>
        <w:t>Other Issues</w:t>
      </w:r>
    </w:p>
    <w:p w:rsidR="00FF2BDC" w:rsidRDefault="00FF2BDC" w:rsidP="00E2638D">
      <w:pPr>
        <w:tabs>
          <w:tab w:val="left" w:pos="426"/>
        </w:tabs>
        <w:spacing w:after="0" w:line="240" w:lineRule="auto"/>
      </w:pPr>
    </w:p>
    <w:p w:rsidR="00811D01" w:rsidRDefault="00FF2BDC" w:rsidP="00FF2BDC">
      <w:pPr>
        <w:pStyle w:val="ListParagraph"/>
        <w:numPr>
          <w:ilvl w:val="0"/>
          <w:numId w:val="17"/>
        </w:numPr>
        <w:tabs>
          <w:tab w:val="left" w:pos="426"/>
        </w:tabs>
        <w:spacing w:after="0" w:line="240" w:lineRule="auto"/>
      </w:pPr>
      <w:r>
        <w:t xml:space="preserve">It was clear that the combination of funding pressures, procurement processes with minimum contract awards together with other changes including reduced funding rates for SASE Frameworks was creating an environment where it was increasingly challenging for smaller providers to remain viable.   </w:t>
      </w:r>
    </w:p>
    <w:p w:rsidR="00E0015E" w:rsidRDefault="00E0015E" w:rsidP="00E2638D">
      <w:pPr>
        <w:tabs>
          <w:tab w:val="left" w:pos="426"/>
        </w:tabs>
        <w:spacing w:after="0" w:line="240" w:lineRule="auto"/>
        <w:rPr>
          <w:b/>
        </w:rPr>
      </w:pPr>
    </w:p>
    <w:p w:rsidR="00E2638D" w:rsidRPr="006C5ACC" w:rsidRDefault="006C5ACC" w:rsidP="00E2638D">
      <w:pPr>
        <w:tabs>
          <w:tab w:val="left" w:pos="426"/>
        </w:tabs>
        <w:spacing w:after="0" w:line="240" w:lineRule="auto"/>
        <w:rPr>
          <w:b/>
        </w:rPr>
      </w:pPr>
      <w:r w:rsidRPr="006C5ACC">
        <w:rPr>
          <w:b/>
        </w:rPr>
        <w:t>7.</w:t>
      </w:r>
      <w:r w:rsidRPr="006C5ACC">
        <w:rPr>
          <w:b/>
        </w:rPr>
        <w:tab/>
        <w:t>Question and Answer Sess</w:t>
      </w:r>
      <w:r>
        <w:rPr>
          <w:b/>
        </w:rPr>
        <w:t>ion</w:t>
      </w:r>
      <w:r w:rsidRPr="006C5ACC">
        <w:rPr>
          <w:b/>
        </w:rPr>
        <w:t xml:space="preserve"> with the </w:t>
      </w:r>
      <w:r w:rsidR="002978E5">
        <w:rPr>
          <w:b/>
        </w:rPr>
        <w:t>Panel of S</w:t>
      </w:r>
      <w:r w:rsidRPr="006C5ACC">
        <w:rPr>
          <w:b/>
        </w:rPr>
        <w:t>peakers</w:t>
      </w:r>
      <w:r w:rsidRPr="006C5ACC">
        <w:rPr>
          <w:b/>
        </w:rPr>
        <w:tab/>
      </w:r>
      <w:r w:rsidRPr="006C5ACC">
        <w:rPr>
          <w:b/>
        </w:rPr>
        <w:tab/>
      </w:r>
      <w:r w:rsidRPr="006C5ACC">
        <w:rPr>
          <w:b/>
        </w:rPr>
        <w:tab/>
      </w:r>
      <w:r w:rsidRPr="006C5ACC">
        <w:rPr>
          <w:b/>
        </w:rPr>
        <w:tab/>
      </w:r>
      <w:r w:rsidRPr="006C5ACC">
        <w:rPr>
          <w:b/>
        </w:rPr>
        <w:tab/>
      </w:r>
      <w:r w:rsidRPr="006C5ACC">
        <w:rPr>
          <w:b/>
        </w:rPr>
        <w:tab/>
      </w:r>
    </w:p>
    <w:p w:rsidR="000D0545" w:rsidRDefault="000D0545" w:rsidP="00FF2BDC">
      <w:pPr>
        <w:rPr>
          <w:i/>
        </w:rPr>
      </w:pPr>
    </w:p>
    <w:p w:rsidR="00FF2BDC" w:rsidRDefault="00FF2BDC" w:rsidP="00FF2BDC">
      <w:r>
        <w:tab/>
        <w:t>The following issues were raised by delegates in the Q&amp;A session:</w:t>
      </w:r>
    </w:p>
    <w:p w:rsidR="005508D3" w:rsidRDefault="00FF2BDC" w:rsidP="00FF2BDC">
      <w:pPr>
        <w:pStyle w:val="ListParagraph"/>
        <w:numPr>
          <w:ilvl w:val="0"/>
          <w:numId w:val="17"/>
        </w:numPr>
      </w:pPr>
      <w:r>
        <w:t xml:space="preserve">The </w:t>
      </w:r>
      <w:r w:rsidR="005508D3">
        <w:t xml:space="preserve">funding rules requiring 20% off the job training were simply inoperable in some industries and were distorting effective delivery rather than enhancing Apprenticeships delivery. Providers wanted further examples of what constituted ‘good’ off the job training practice. </w:t>
      </w:r>
    </w:p>
    <w:p w:rsidR="005508D3" w:rsidRDefault="005508D3" w:rsidP="00FF2BDC">
      <w:pPr>
        <w:pStyle w:val="ListParagraph"/>
        <w:numPr>
          <w:ilvl w:val="0"/>
          <w:numId w:val="17"/>
        </w:numPr>
      </w:pPr>
      <w:r>
        <w:t xml:space="preserve">There was an apparent disconnect in terms of both the funding and quality assurance arrangements where degree Apprenticeships had non degree </w:t>
      </w:r>
      <w:proofErr w:type="gramStart"/>
      <w:r>
        <w:t>elements .</w:t>
      </w:r>
      <w:proofErr w:type="gramEnd"/>
    </w:p>
    <w:p w:rsidR="00FF2BDC" w:rsidRDefault="005508D3" w:rsidP="00FF2BDC">
      <w:pPr>
        <w:pStyle w:val="ListParagraph"/>
        <w:numPr>
          <w:ilvl w:val="0"/>
          <w:numId w:val="17"/>
        </w:numPr>
      </w:pPr>
      <w:r>
        <w:t xml:space="preserve">The AEB tendering process had resulted in situations whereby providers scoring the maximum possible score were not being awarded a contract because their priority provision amounted to less than the minimum award and others </w:t>
      </w:r>
      <w:r w:rsidR="00731AA1">
        <w:t>s</w:t>
      </w:r>
      <w:r>
        <w:t xml:space="preserve">coring less well had achieved an allocation. This potentially reduced the overall quality of provision. </w:t>
      </w:r>
    </w:p>
    <w:p w:rsidR="005508D3" w:rsidRDefault="005508D3" w:rsidP="00FF2BDC">
      <w:pPr>
        <w:pStyle w:val="ListParagraph"/>
        <w:numPr>
          <w:ilvl w:val="0"/>
          <w:numId w:val="17"/>
        </w:numPr>
      </w:pPr>
      <w:r>
        <w:t>Concerns were expressed that unless all employers and providers were engaged in the delivery of Technical Education the necessary volume of good quality work experience plac</w:t>
      </w:r>
      <w:r w:rsidR="00EB7DE9">
        <w:t>e</w:t>
      </w:r>
      <w:r>
        <w:t xml:space="preserve">ments would not be available. </w:t>
      </w:r>
    </w:p>
    <w:p w:rsidR="00FF2BDC" w:rsidRPr="00FF2BDC" w:rsidRDefault="00FF2BDC" w:rsidP="00FF2BDC"/>
    <w:p w:rsidR="006700AD" w:rsidRPr="006700AD" w:rsidRDefault="00EB7DE9" w:rsidP="00F0302D">
      <w:pPr>
        <w:tabs>
          <w:tab w:val="left" w:pos="567"/>
        </w:tabs>
        <w:spacing w:after="0" w:line="240" w:lineRule="auto"/>
        <w:jc w:val="both"/>
        <w:rPr>
          <w:b/>
        </w:rPr>
      </w:pPr>
      <w:r>
        <w:rPr>
          <w:sz w:val="24"/>
          <w:szCs w:val="24"/>
        </w:rPr>
        <w:lastRenderedPageBreak/>
        <w:t>8</w:t>
      </w:r>
      <w:r w:rsidR="00F0302D">
        <w:rPr>
          <w:sz w:val="24"/>
          <w:szCs w:val="24"/>
        </w:rPr>
        <w:tab/>
      </w:r>
      <w:r w:rsidR="006700AD" w:rsidRPr="006700AD">
        <w:rPr>
          <w:b/>
        </w:rPr>
        <w:t>The Future Apprenticeship support programme</w:t>
      </w:r>
      <w:r w:rsidR="00FB5E84">
        <w:rPr>
          <w:b/>
        </w:rPr>
        <w:tab/>
      </w:r>
      <w:r w:rsidR="00FB5E84">
        <w:rPr>
          <w:b/>
        </w:rPr>
        <w:tab/>
      </w:r>
      <w:r w:rsidR="00FB5E84">
        <w:rPr>
          <w:b/>
        </w:rPr>
        <w:tab/>
      </w:r>
      <w:r w:rsidR="00FB5E84">
        <w:rPr>
          <w:b/>
        </w:rPr>
        <w:tab/>
      </w:r>
      <w:r w:rsidR="00FB5E84">
        <w:rPr>
          <w:b/>
        </w:rPr>
        <w:tab/>
      </w:r>
      <w:r w:rsidR="00FB5E84">
        <w:rPr>
          <w:b/>
        </w:rPr>
        <w:tab/>
      </w:r>
    </w:p>
    <w:p w:rsidR="003236BB" w:rsidRDefault="00731AA1" w:rsidP="00F0302D">
      <w:pPr>
        <w:pStyle w:val="ListParagraph"/>
        <w:spacing w:after="0" w:line="240" w:lineRule="auto"/>
        <w:ind w:left="567"/>
        <w:rPr>
          <w:b/>
        </w:rPr>
      </w:pPr>
      <w:r>
        <w:rPr>
          <w:b/>
        </w:rPr>
        <w:t xml:space="preserve">Paul </w:t>
      </w:r>
      <w:proofErr w:type="spellStart"/>
      <w:r>
        <w:rPr>
          <w:b/>
        </w:rPr>
        <w:t>Kessell</w:t>
      </w:r>
      <w:proofErr w:type="spellEnd"/>
      <w:r>
        <w:rPr>
          <w:b/>
        </w:rPr>
        <w:t>–</w:t>
      </w:r>
      <w:r w:rsidR="006540E2" w:rsidRPr="006540E2">
        <w:rPr>
          <w:b/>
        </w:rPr>
        <w:t xml:space="preserve">Holland </w:t>
      </w:r>
      <w:r w:rsidR="003236BB">
        <w:rPr>
          <w:b/>
        </w:rPr>
        <w:t>: Head of Partnerships</w:t>
      </w:r>
    </w:p>
    <w:p w:rsidR="006700AD" w:rsidRDefault="006700AD" w:rsidP="00F0302D">
      <w:pPr>
        <w:pStyle w:val="ListParagraph"/>
        <w:spacing w:after="0" w:line="240" w:lineRule="auto"/>
        <w:ind w:left="567"/>
        <w:rPr>
          <w:b/>
        </w:rPr>
      </w:pPr>
      <w:r w:rsidRPr="006700AD">
        <w:rPr>
          <w:b/>
        </w:rPr>
        <w:t>E</w:t>
      </w:r>
      <w:r w:rsidR="002978E5">
        <w:rPr>
          <w:b/>
        </w:rPr>
        <w:t xml:space="preserve">ducation and Training </w:t>
      </w:r>
      <w:r w:rsidRPr="006700AD">
        <w:rPr>
          <w:b/>
        </w:rPr>
        <w:t>F</w:t>
      </w:r>
      <w:r w:rsidR="002978E5">
        <w:rPr>
          <w:b/>
        </w:rPr>
        <w:t>oundation</w:t>
      </w:r>
    </w:p>
    <w:p w:rsidR="00EB7DE9" w:rsidRDefault="00EB7DE9" w:rsidP="00F0302D">
      <w:pPr>
        <w:pStyle w:val="ListParagraph"/>
        <w:spacing w:after="0" w:line="240" w:lineRule="auto"/>
        <w:ind w:left="567"/>
        <w:rPr>
          <w:b/>
        </w:rPr>
      </w:pPr>
    </w:p>
    <w:p w:rsidR="00EB7DE9" w:rsidRPr="006700AD" w:rsidRDefault="00EB7DE9" w:rsidP="00F0302D">
      <w:pPr>
        <w:pStyle w:val="ListParagraph"/>
        <w:spacing w:after="0" w:line="240" w:lineRule="auto"/>
        <w:ind w:left="567"/>
        <w:rPr>
          <w:b/>
        </w:rPr>
      </w:pPr>
      <w:r>
        <w:rPr>
          <w:b/>
        </w:rPr>
        <w:t>Paul covered:</w:t>
      </w:r>
    </w:p>
    <w:p w:rsidR="00EC53C5" w:rsidRDefault="00EC53C5" w:rsidP="007F4975">
      <w:pPr>
        <w:pStyle w:val="ListParagraph"/>
        <w:numPr>
          <w:ilvl w:val="0"/>
          <w:numId w:val="7"/>
        </w:numPr>
        <w:tabs>
          <w:tab w:val="left" w:pos="567"/>
        </w:tabs>
        <w:spacing w:after="0" w:line="240" w:lineRule="auto"/>
        <w:rPr>
          <w:bCs/>
        </w:rPr>
      </w:pPr>
      <w:r w:rsidRPr="00EC53C5">
        <w:rPr>
          <w:bCs/>
        </w:rPr>
        <w:t xml:space="preserve">Future Apprenticeships – </w:t>
      </w:r>
      <w:r>
        <w:rPr>
          <w:bCs/>
        </w:rPr>
        <w:t>ETF support including EPA</w:t>
      </w:r>
    </w:p>
    <w:p w:rsidR="00EC53C5" w:rsidRPr="00EC53C5" w:rsidRDefault="00EC53C5" w:rsidP="007F4975">
      <w:pPr>
        <w:pStyle w:val="ListParagraph"/>
        <w:numPr>
          <w:ilvl w:val="0"/>
          <w:numId w:val="7"/>
        </w:numPr>
        <w:tabs>
          <w:tab w:val="left" w:pos="567"/>
        </w:tabs>
        <w:spacing w:after="0" w:line="240" w:lineRule="auto"/>
        <w:rPr>
          <w:bCs/>
        </w:rPr>
      </w:pPr>
      <w:r>
        <w:rPr>
          <w:bCs/>
        </w:rPr>
        <w:t>Employers as providers</w:t>
      </w:r>
    </w:p>
    <w:p w:rsidR="00EC53C5" w:rsidRPr="00EC53C5" w:rsidRDefault="00EC53C5" w:rsidP="007F4975">
      <w:pPr>
        <w:pStyle w:val="ListParagraph"/>
        <w:numPr>
          <w:ilvl w:val="0"/>
          <w:numId w:val="7"/>
        </w:numPr>
        <w:tabs>
          <w:tab w:val="left" w:pos="567"/>
        </w:tabs>
        <w:spacing w:after="0" w:line="240" w:lineRule="auto"/>
        <w:rPr>
          <w:bCs/>
        </w:rPr>
      </w:pPr>
      <w:r w:rsidRPr="00EC53C5">
        <w:rPr>
          <w:bCs/>
        </w:rPr>
        <w:t xml:space="preserve">Teach Too </w:t>
      </w:r>
      <w:r>
        <w:rPr>
          <w:bCs/>
        </w:rPr>
        <w:t xml:space="preserve">– supporting </w:t>
      </w:r>
      <w:r w:rsidRPr="00EC53C5">
        <w:rPr>
          <w:bCs/>
        </w:rPr>
        <w:t xml:space="preserve">providers and employers </w:t>
      </w:r>
    </w:p>
    <w:p w:rsidR="00EC53C5" w:rsidRDefault="00EC53C5" w:rsidP="007F4975">
      <w:pPr>
        <w:pStyle w:val="ListParagraph"/>
        <w:numPr>
          <w:ilvl w:val="0"/>
          <w:numId w:val="7"/>
        </w:numPr>
        <w:tabs>
          <w:tab w:val="left" w:pos="567"/>
        </w:tabs>
        <w:spacing w:after="0" w:line="240" w:lineRule="auto"/>
        <w:rPr>
          <w:bCs/>
        </w:rPr>
      </w:pPr>
      <w:r w:rsidRPr="00EC53C5">
        <w:rPr>
          <w:bCs/>
        </w:rPr>
        <w:t xml:space="preserve">Outstanding Teaching Learning and Assessment - Professional Exchanges </w:t>
      </w:r>
    </w:p>
    <w:p w:rsidR="00EC53C5" w:rsidRPr="006D0FB9" w:rsidRDefault="00EC53C5" w:rsidP="007F4975">
      <w:pPr>
        <w:pStyle w:val="ListParagraph"/>
        <w:numPr>
          <w:ilvl w:val="0"/>
          <w:numId w:val="7"/>
        </w:numPr>
        <w:tabs>
          <w:tab w:val="left" w:pos="567"/>
        </w:tabs>
        <w:spacing w:after="0" w:line="240" w:lineRule="auto"/>
        <w:rPr>
          <w:b/>
          <w:bCs/>
        </w:rPr>
      </w:pPr>
      <w:r w:rsidRPr="00EC53C5">
        <w:rPr>
          <w:bCs/>
        </w:rPr>
        <w:t>Supporting employers to procure high quality provision</w:t>
      </w:r>
    </w:p>
    <w:p w:rsidR="006D0FB9" w:rsidRDefault="006D0FB9" w:rsidP="006D0FB9">
      <w:pPr>
        <w:tabs>
          <w:tab w:val="left" w:pos="567"/>
        </w:tabs>
        <w:spacing w:after="0" w:line="240" w:lineRule="auto"/>
        <w:rPr>
          <w:b/>
          <w:bCs/>
        </w:rPr>
      </w:pPr>
    </w:p>
    <w:p w:rsidR="00EB7DE9" w:rsidRPr="00EB7DE9" w:rsidRDefault="00EB7DE9" w:rsidP="00EB7DE9">
      <w:pPr>
        <w:tabs>
          <w:tab w:val="left" w:pos="567"/>
        </w:tabs>
        <w:spacing w:after="0" w:line="240" w:lineRule="auto"/>
        <w:ind w:left="567" w:hanging="567"/>
        <w:rPr>
          <w:bCs/>
        </w:rPr>
      </w:pPr>
      <w:r>
        <w:rPr>
          <w:b/>
          <w:bCs/>
        </w:rPr>
        <w:tab/>
      </w:r>
      <w:r>
        <w:rPr>
          <w:bCs/>
        </w:rPr>
        <w:t>A key message from ETF was the importance of providers and networks maintaining an active dialogue with ETF to ensure that their development work including research activity remained practitioner led and the need to be helping to set the agenda.</w:t>
      </w:r>
    </w:p>
    <w:sectPr w:rsidR="00EB7DE9" w:rsidRPr="00EB7DE9" w:rsidSect="00947280">
      <w:pgSz w:w="11906" w:h="16838"/>
      <w:pgMar w:top="1134" w:right="992"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16B"/>
    <w:multiLevelType w:val="hybridMultilevel"/>
    <w:tmpl w:val="A63A7D62"/>
    <w:lvl w:ilvl="0" w:tplc="9328D7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223D5"/>
    <w:multiLevelType w:val="hybridMultilevel"/>
    <w:tmpl w:val="BECC2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FF73BB"/>
    <w:multiLevelType w:val="hybridMultilevel"/>
    <w:tmpl w:val="BCF4684A"/>
    <w:lvl w:ilvl="0" w:tplc="9328D7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02E3A"/>
    <w:multiLevelType w:val="hybridMultilevel"/>
    <w:tmpl w:val="792AA68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3652166E"/>
    <w:multiLevelType w:val="hybridMultilevel"/>
    <w:tmpl w:val="FFEED9DC"/>
    <w:lvl w:ilvl="0" w:tplc="D4BA69D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780515"/>
    <w:multiLevelType w:val="hybridMultilevel"/>
    <w:tmpl w:val="3FA874DC"/>
    <w:lvl w:ilvl="0" w:tplc="9328D7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C86B18"/>
    <w:multiLevelType w:val="hybridMultilevel"/>
    <w:tmpl w:val="F05A6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DB001D"/>
    <w:multiLevelType w:val="hybridMultilevel"/>
    <w:tmpl w:val="29AC0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A3323B9"/>
    <w:multiLevelType w:val="hybridMultilevel"/>
    <w:tmpl w:val="750247BE"/>
    <w:lvl w:ilvl="0" w:tplc="9328D7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A7CBC"/>
    <w:multiLevelType w:val="hybridMultilevel"/>
    <w:tmpl w:val="0B9A4CF6"/>
    <w:lvl w:ilvl="0" w:tplc="9328D7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4153ED"/>
    <w:multiLevelType w:val="hybridMultilevel"/>
    <w:tmpl w:val="D3304FD8"/>
    <w:lvl w:ilvl="0" w:tplc="9328D7C4">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0F1A15"/>
    <w:multiLevelType w:val="hybridMultilevel"/>
    <w:tmpl w:val="949E17C2"/>
    <w:lvl w:ilvl="0" w:tplc="9328D7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2F5DAE"/>
    <w:multiLevelType w:val="hybridMultilevel"/>
    <w:tmpl w:val="CAEAE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1EE172D"/>
    <w:multiLevelType w:val="hybridMultilevel"/>
    <w:tmpl w:val="8CAC12EC"/>
    <w:lvl w:ilvl="0" w:tplc="9328D7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C910FF"/>
    <w:multiLevelType w:val="hybridMultilevel"/>
    <w:tmpl w:val="5D14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9F3080"/>
    <w:multiLevelType w:val="hybridMultilevel"/>
    <w:tmpl w:val="9F4E2228"/>
    <w:lvl w:ilvl="0" w:tplc="9328D7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B3B594D"/>
    <w:multiLevelType w:val="hybridMultilevel"/>
    <w:tmpl w:val="2D848C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12"/>
  </w:num>
  <w:num w:numId="3">
    <w:abstractNumId w:val="4"/>
  </w:num>
  <w:num w:numId="4">
    <w:abstractNumId w:val="7"/>
  </w:num>
  <w:num w:numId="5">
    <w:abstractNumId w:val="15"/>
  </w:num>
  <w:num w:numId="6">
    <w:abstractNumId w:val="1"/>
  </w:num>
  <w:num w:numId="7">
    <w:abstractNumId w:val="16"/>
  </w:num>
  <w:num w:numId="8">
    <w:abstractNumId w:val="14"/>
  </w:num>
  <w:num w:numId="9">
    <w:abstractNumId w:val="8"/>
  </w:num>
  <w:num w:numId="10">
    <w:abstractNumId w:val="0"/>
  </w:num>
  <w:num w:numId="11">
    <w:abstractNumId w:val="5"/>
  </w:num>
  <w:num w:numId="12">
    <w:abstractNumId w:val="10"/>
  </w:num>
  <w:num w:numId="13">
    <w:abstractNumId w:val="13"/>
  </w:num>
  <w:num w:numId="14">
    <w:abstractNumId w:val="11"/>
  </w:num>
  <w:num w:numId="15">
    <w:abstractNumId w:val="9"/>
  </w:num>
  <w:num w:numId="16">
    <w:abstractNumId w:val="2"/>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31"/>
    <w:rsid w:val="00017A35"/>
    <w:rsid w:val="00033A6C"/>
    <w:rsid w:val="000844AD"/>
    <w:rsid w:val="000A3983"/>
    <w:rsid w:val="000B4701"/>
    <w:rsid w:val="000B4901"/>
    <w:rsid w:val="000D0545"/>
    <w:rsid w:val="000E7728"/>
    <w:rsid w:val="00117A55"/>
    <w:rsid w:val="0012066F"/>
    <w:rsid w:val="0015766B"/>
    <w:rsid w:val="001C2CC8"/>
    <w:rsid w:val="001E2384"/>
    <w:rsid w:val="001E72A1"/>
    <w:rsid w:val="00215B86"/>
    <w:rsid w:val="00255DB7"/>
    <w:rsid w:val="002808EC"/>
    <w:rsid w:val="00281974"/>
    <w:rsid w:val="002978E5"/>
    <w:rsid w:val="002B288A"/>
    <w:rsid w:val="002C7080"/>
    <w:rsid w:val="002D4B1E"/>
    <w:rsid w:val="00301D63"/>
    <w:rsid w:val="00302E70"/>
    <w:rsid w:val="00314021"/>
    <w:rsid w:val="003236BB"/>
    <w:rsid w:val="00346C42"/>
    <w:rsid w:val="003601A8"/>
    <w:rsid w:val="00376586"/>
    <w:rsid w:val="00392D5F"/>
    <w:rsid w:val="003B6CB8"/>
    <w:rsid w:val="004341F9"/>
    <w:rsid w:val="004553E5"/>
    <w:rsid w:val="00466EBE"/>
    <w:rsid w:val="00483C71"/>
    <w:rsid w:val="004B168C"/>
    <w:rsid w:val="004C04F8"/>
    <w:rsid w:val="004E18D3"/>
    <w:rsid w:val="005203B9"/>
    <w:rsid w:val="005508D3"/>
    <w:rsid w:val="00576F4E"/>
    <w:rsid w:val="005B53EF"/>
    <w:rsid w:val="005F137E"/>
    <w:rsid w:val="005F469D"/>
    <w:rsid w:val="00625993"/>
    <w:rsid w:val="006331BD"/>
    <w:rsid w:val="0065342E"/>
    <w:rsid w:val="006540E2"/>
    <w:rsid w:val="006700AD"/>
    <w:rsid w:val="00681F29"/>
    <w:rsid w:val="006C5ACC"/>
    <w:rsid w:val="006D0FB9"/>
    <w:rsid w:val="006D3F68"/>
    <w:rsid w:val="006D7BB5"/>
    <w:rsid w:val="00706140"/>
    <w:rsid w:val="00713385"/>
    <w:rsid w:val="007307E2"/>
    <w:rsid w:val="00731AA1"/>
    <w:rsid w:val="007460D6"/>
    <w:rsid w:val="00772CED"/>
    <w:rsid w:val="0078134B"/>
    <w:rsid w:val="007B68E0"/>
    <w:rsid w:val="007E3EF8"/>
    <w:rsid w:val="007F4975"/>
    <w:rsid w:val="00811D01"/>
    <w:rsid w:val="00822FB5"/>
    <w:rsid w:val="00837433"/>
    <w:rsid w:val="008A296E"/>
    <w:rsid w:val="008A6684"/>
    <w:rsid w:val="00906125"/>
    <w:rsid w:val="00915139"/>
    <w:rsid w:val="00942EBC"/>
    <w:rsid w:val="00947280"/>
    <w:rsid w:val="00950461"/>
    <w:rsid w:val="0096313E"/>
    <w:rsid w:val="0097041A"/>
    <w:rsid w:val="00987483"/>
    <w:rsid w:val="009F7931"/>
    <w:rsid w:val="00A01AAC"/>
    <w:rsid w:val="00A24DC0"/>
    <w:rsid w:val="00A2528F"/>
    <w:rsid w:val="00A41638"/>
    <w:rsid w:val="00A610AF"/>
    <w:rsid w:val="00AE00C9"/>
    <w:rsid w:val="00AE3DF8"/>
    <w:rsid w:val="00B71C1A"/>
    <w:rsid w:val="00B81A0E"/>
    <w:rsid w:val="00B938C1"/>
    <w:rsid w:val="00BA1FCD"/>
    <w:rsid w:val="00BB7AFF"/>
    <w:rsid w:val="00BC0DB4"/>
    <w:rsid w:val="00BE2618"/>
    <w:rsid w:val="00C178F9"/>
    <w:rsid w:val="00C66A4A"/>
    <w:rsid w:val="00CA79EB"/>
    <w:rsid w:val="00CE1D95"/>
    <w:rsid w:val="00D078F4"/>
    <w:rsid w:val="00D1152A"/>
    <w:rsid w:val="00D308DD"/>
    <w:rsid w:val="00D31CB0"/>
    <w:rsid w:val="00D35131"/>
    <w:rsid w:val="00D51731"/>
    <w:rsid w:val="00D52BE6"/>
    <w:rsid w:val="00D54F4C"/>
    <w:rsid w:val="00D93BD3"/>
    <w:rsid w:val="00DA1D4A"/>
    <w:rsid w:val="00DB73A9"/>
    <w:rsid w:val="00DF4168"/>
    <w:rsid w:val="00DF4318"/>
    <w:rsid w:val="00E0015E"/>
    <w:rsid w:val="00E00DC9"/>
    <w:rsid w:val="00E01A71"/>
    <w:rsid w:val="00E2638D"/>
    <w:rsid w:val="00E30E60"/>
    <w:rsid w:val="00E314C7"/>
    <w:rsid w:val="00E66788"/>
    <w:rsid w:val="00E669B6"/>
    <w:rsid w:val="00EB7DE9"/>
    <w:rsid w:val="00EC14A1"/>
    <w:rsid w:val="00EC53C5"/>
    <w:rsid w:val="00EE7F74"/>
    <w:rsid w:val="00F0302D"/>
    <w:rsid w:val="00F03B2C"/>
    <w:rsid w:val="00F06796"/>
    <w:rsid w:val="00F33CF3"/>
    <w:rsid w:val="00F77211"/>
    <w:rsid w:val="00FB5E84"/>
    <w:rsid w:val="00FF2BDC"/>
    <w:rsid w:val="00FF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B9"/>
    <w:rPr>
      <w:rFonts w:ascii="Tahoma" w:hAnsi="Tahoma" w:cs="Tahoma"/>
      <w:sz w:val="16"/>
      <w:szCs w:val="16"/>
    </w:rPr>
  </w:style>
  <w:style w:type="character" w:styleId="Hyperlink">
    <w:name w:val="Hyperlink"/>
    <w:basedOn w:val="DefaultParagraphFont"/>
    <w:uiPriority w:val="99"/>
    <w:unhideWhenUsed/>
    <w:rsid w:val="000B4701"/>
    <w:rPr>
      <w:color w:val="0000FF"/>
      <w:u w:val="single"/>
    </w:rPr>
  </w:style>
  <w:style w:type="paragraph" w:styleId="ListParagraph">
    <w:name w:val="List Paragraph"/>
    <w:basedOn w:val="Normal"/>
    <w:uiPriority w:val="34"/>
    <w:qFormat/>
    <w:rsid w:val="000B4701"/>
    <w:pPr>
      <w:ind w:left="720"/>
      <w:contextualSpacing/>
    </w:pPr>
  </w:style>
  <w:style w:type="character" w:styleId="CommentReference">
    <w:name w:val="annotation reference"/>
    <w:basedOn w:val="DefaultParagraphFont"/>
    <w:uiPriority w:val="99"/>
    <w:semiHidden/>
    <w:unhideWhenUsed/>
    <w:rsid w:val="00BC0DB4"/>
    <w:rPr>
      <w:sz w:val="16"/>
      <w:szCs w:val="16"/>
    </w:rPr>
  </w:style>
  <w:style w:type="paragraph" w:styleId="CommentText">
    <w:name w:val="annotation text"/>
    <w:basedOn w:val="Normal"/>
    <w:link w:val="CommentTextChar"/>
    <w:uiPriority w:val="99"/>
    <w:semiHidden/>
    <w:unhideWhenUsed/>
    <w:rsid w:val="00BC0DB4"/>
    <w:pPr>
      <w:spacing w:line="240" w:lineRule="auto"/>
    </w:pPr>
    <w:rPr>
      <w:sz w:val="20"/>
      <w:szCs w:val="20"/>
    </w:rPr>
  </w:style>
  <w:style w:type="character" w:customStyle="1" w:styleId="CommentTextChar">
    <w:name w:val="Comment Text Char"/>
    <w:basedOn w:val="DefaultParagraphFont"/>
    <w:link w:val="CommentText"/>
    <w:uiPriority w:val="99"/>
    <w:semiHidden/>
    <w:rsid w:val="00BC0DB4"/>
    <w:rPr>
      <w:sz w:val="20"/>
      <w:szCs w:val="20"/>
    </w:rPr>
  </w:style>
  <w:style w:type="paragraph" w:styleId="CommentSubject">
    <w:name w:val="annotation subject"/>
    <w:basedOn w:val="CommentText"/>
    <w:next w:val="CommentText"/>
    <w:link w:val="CommentSubjectChar"/>
    <w:uiPriority w:val="99"/>
    <w:semiHidden/>
    <w:unhideWhenUsed/>
    <w:rsid w:val="00BC0DB4"/>
    <w:rPr>
      <w:b/>
      <w:bCs/>
    </w:rPr>
  </w:style>
  <w:style w:type="character" w:customStyle="1" w:styleId="CommentSubjectChar">
    <w:name w:val="Comment Subject Char"/>
    <w:basedOn w:val="CommentTextChar"/>
    <w:link w:val="CommentSubject"/>
    <w:uiPriority w:val="99"/>
    <w:semiHidden/>
    <w:rsid w:val="00BC0DB4"/>
    <w:rPr>
      <w:b/>
      <w:bCs/>
      <w:sz w:val="20"/>
      <w:szCs w:val="20"/>
    </w:rPr>
  </w:style>
  <w:style w:type="paragraph" w:styleId="Caption">
    <w:name w:val="caption"/>
    <w:basedOn w:val="Normal"/>
    <w:next w:val="Normal"/>
    <w:uiPriority w:val="35"/>
    <w:unhideWhenUsed/>
    <w:qFormat/>
    <w:rsid w:val="00C178F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B9"/>
    <w:rPr>
      <w:rFonts w:ascii="Tahoma" w:hAnsi="Tahoma" w:cs="Tahoma"/>
      <w:sz w:val="16"/>
      <w:szCs w:val="16"/>
    </w:rPr>
  </w:style>
  <w:style w:type="character" w:styleId="Hyperlink">
    <w:name w:val="Hyperlink"/>
    <w:basedOn w:val="DefaultParagraphFont"/>
    <w:uiPriority w:val="99"/>
    <w:unhideWhenUsed/>
    <w:rsid w:val="000B4701"/>
    <w:rPr>
      <w:color w:val="0000FF"/>
      <w:u w:val="single"/>
    </w:rPr>
  </w:style>
  <w:style w:type="paragraph" w:styleId="ListParagraph">
    <w:name w:val="List Paragraph"/>
    <w:basedOn w:val="Normal"/>
    <w:uiPriority w:val="34"/>
    <w:qFormat/>
    <w:rsid w:val="000B4701"/>
    <w:pPr>
      <w:ind w:left="720"/>
      <w:contextualSpacing/>
    </w:pPr>
  </w:style>
  <w:style w:type="character" w:styleId="CommentReference">
    <w:name w:val="annotation reference"/>
    <w:basedOn w:val="DefaultParagraphFont"/>
    <w:uiPriority w:val="99"/>
    <w:semiHidden/>
    <w:unhideWhenUsed/>
    <w:rsid w:val="00BC0DB4"/>
    <w:rPr>
      <w:sz w:val="16"/>
      <w:szCs w:val="16"/>
    </w:rPr>
  </w:style>
  <w:style w:type="paragraph" w:styleId="CommentText">
    <w:name w:val="annotation text"/>
    <w:basedOn w:val="Normal"/>
    <w:link w:val="CommentTextChar"/>
    <w:uiPriority w:val="99"/>
    <w:semiHidden/>
    <w:unhideWhenUsed/>
    <w:rsid w:val="00BC0DB4"/>
    <w:pPr>
      <w:spacing w:line="240" w:lineRule="auto"/>
    </w:pPr>
    <w:rPr>
      <w:sz w:val="20"/>
      <w:szCs w:val="20"/>
    </w:rPr>
  </w:style>
  <w:style w:type="character" w:customStyle="1" w:styleId="CommentTextChar">
    <w:name w:val="Comment Text Char"/>
    <w:basedOn w:val="DefaultParagraphFont"/>
    <w:link w:val="CommentText"/>
    <w:uiPriority w:val="99"/>
    <w:semiHidden/>
    <w:rsid w:val="00BC0DB4"/>
    <w:rPr>
      <w:sz w:val="20"/>
      <w:szCs w:val="20"/>
    </w:rPr>
  </w:style>
  <w:style w:type="paragraph" w:styleId="CommentSubject">
    <w:name w:val="annotation subject"/>
    <w:basedOn w:val="CommentText"/>
    <w:next w:val="CommentText"/>
    <w:link w:val="CommentSubjectChar"/>
    <w:uiPriority w:val="99"/>
    <w:semiHidden/>
    <w:unhideWhenUsed/>
    <w:rsid w:val="00BC0DB4"/>
    <w:rPr>
      <w:b/>
      <w:bCs/>
    </w:rPr>
  </w:style>
  <w:style w:type="character" w:customStyle="1" w:styleId="CommentSubjectChar">
    <w:name w:val="Comment Subject Char"/>
    <w:basedOn w:val="CommentTextChar"/>
    <w:link w:val="CommentSubject"/>
    <w:uiPriority w:val="99"/>
    <w:semiHidden/>
    <w:rsid w:val="00BC0DB4"/>
    <w:rPr>
      <w:b/>
      <w:bCs/>
      <w:sz w:val="20"/>
      <w:szCs w:val="20"/>
    </w:rPr>
  </w:style>
  <w:style w:type="paragraph" w:styleId="Caption">
    <w:name w:val="caption"/>
    <w:basedOn w:val="Normal"/>
    <w:next w:val="Normal"/>
    <w:uiPriority w:val="35"/>
    <w:unhideWhenUsed/>
    <w:qFormat/>
    <w:rsid w:val="00C178F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678">
      <w:bodyDiv w:val="1"/>
      <w:marLeft w:val="0"/>
      <w:marRight w:val="0"/>
      <w:marTop w:val="0"/>
      <w:marBottom w:val="0"/>
      <w:divBdr>
        <w:top w:val="none" w:sz="0" w:space="0" w:color="auto"/>
        <w:left w:val="none" w:sz="0" w:space="0" w:color="auto"/>
        <w:bottom w:val="none" w:sz="0" w:space="0" w:color="auto"/>
        <w:right w:val="none" w:sz="0" w:space="0" w:color="auto"/>
      </w:divBdr>
    </w:div>
    <w:div w:id="40981631">
      <w:bodyDiv w:val="1"/>
      <w:marLeft w:val="0"/>
      <w:marRight w:val="0"/>
      <w:marTop w:val="0"/>
      <w:marBottom w:val="0"/>
      <w:divBdr>
        <w:top w:val="none" w:sz="0" w:space="0" w:color="auto"/>
        <w:left w:val="none" w:sz="0" w:space="0" w:color="auto"/>
        <w:bottom w:val="none" w:sz="0" w:space="0" w:color="auto"/>
        <w:right w:val="none" w:sz="0" w:space="0" w:color="auto"/>
      </w:divBdr>
    </w:div>
    <w:div w:id="956906182">
      <w:bodyDiv w:val="1"/>
      <w:marLeft w:val="0"/>
      <w:marRight w:val="0"/>
      <w:marTop w:val="0"/>
      <w:marBottom w:val="0"/>
      <w:divBdr>
        <w:top w:val="none" w:sz="0" w:space="0" w:color="auto"/>
        <w:left w:val="none" w:sz="0" w:space="0" w:color="auto"/>
        <w:bottom w:val="none" w:sz="0" w:space="0" w:color="auto"/>
        <w:right w:val="none" w:sz="0" w:space="0" w:color="auto"/>
      </w:divBdr>
    </w:div>
    <w:div w:id="1188644978">
      <w:bodyDiv w:val="1"/>
      <w:marLeft w:val="0"/>
      <w:marRight w:val="0"/>
      <w:marTop w:val="0"/>
      <w:marBottom w:val="0"/>
      <w:divBdr>
        <w:top w:val="none" w:sz="0" w:space="0" w:color="auto"/>
        <w:left w:val="none" w:sz="0" w:space="0" w:color="auto"/>
        <w:bottom w:val="none" w:sz="0" w:space="0" w:color="auto"/>
        <w:right w:val="none" w:sz="0" w:space="0" w:color="auto"/>
      </w:divBdr>
    </w:div>
    <w:div w:id="1644237980">
      <w:bodyDiv w:val="1"/>
      <w:marLeft w:val="0"/>
      <w:marRight w:val="0"/>
      <w:marTop w:val="0"/>
      <w:marBottom w:val="0"/>
      <w:divBdr>
        <w:top w:val="none" w:sz="0" w:space="0" w:color="auto"/>
        <w:left w:val="none" w:sz="0" w:space="0" w:color="auto"/>
        <w:bottom w:val="none" w:sz="0" w:space="0" w:color="auto"/>
        <w:right w:val="none" w:sz="0" w:space="0" w:color="auto"/>
      </w:divBdr>
    </w:div>
    <w:div w:id="1670788263">
      <w:bodyDiv w:val="1"/>
      <w:marLeft w:val="0"/>
      <w:marRight w:val="0"/>
      <w:marTop w:val="0"/>
      <w:marBottom w:val="0"/>
      <w:divBdr>
        <w:top w:val="none" w:sz="0" w:space="0" w:color="auto"/>
        <w:left w:val="none" w:sz="0" w:space="0" w:color="auto"/>
        <w:bottom w:val="none" w:sz="0" w:space="0" w:color="auto"/>
        <w:right w:val="none" w:sz="0" w:space="0" w:color="auto"/>
      </w:divBdr>
    </w:div>
    <w:div w:id="1989702774">
      <w:bodyDiv w:val="1"/>
      <w:marLeft w:val="0"/>
      <w:marRight w:val="0"/>
      <w:marTop w:val="0"/>
      <w:marBottom w:val="0"/>
      <w:divBdr>
        <w:top w:val="none" w:sz="0" w:space="0" w:color="auto"/>
        <w:left w:val="none" w:sz="0" w:space="0" w:color="auto"/>
        <w:bottom w:val="none" w:sz="0" w:space="0" w:color="auto"/>
        <w:right w:val="none" w:sz="0" w:space="0" w:color="auto"/>
      </w:divBdr>
    </w:div>
    <w:div w:id="2020429977">
      <w:bodyDiv w:val="1"/>
      <w:marLeft w:val="0"/>
      <w:marRight w:val="0"/>
      <w:marTop w:val="0"/>
      <w:marBottom w:val="0"/>
      <w:divBdr>
        <w:top w:val="none" w:sz="0" w:space="0" w:color="auto"/>
        <w:left w:val="none" w:sz="0" w:space="0" w:color="auto"/>
        <w:bottom w:val="none" w:sz="0" w:space="0" w:color="auto"/>
        <w:right w:val="none" w:sz="0" w:space="0" w:color="auto"/>
      </w:divBdr>
    </w:div>
    <w:div w:id="20777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institute-for-apprenticeships-sets-out-vision-on-qualit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6A0A-1CF6-42C6-9B16-A5CDF29D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Raeleen</cp:lastModifiedBy>
  <cp:revision>2</cp:revision>
  <cp:lastPrinted>2016-09-27T09:33:00Z</cp:lastPrinted>
  <dcterms:created xsi:type="dcterms:W3CDTF">2017-10-13T09:37:00Z</dcterms:created>
  <dcterms:modified xsi:type="dcterms:W3CDTF">2017-10-13T09:37:00Z</dcterms:modified>
</cp:coreProperties>
</file>